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Data Collection and Preprocessing Phase</w:t>
      </w:r>
    </w:p>
    <w:p>
      <w:pPr>
        <w:widowControl w:val="false"/>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 june 2024</w:t>
            </w:r>
          </w:p>
        </w:tc>
      </w:tr>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739720</w:t>
            </w:r>
          </w:p>
        </w:tc>
      </w:tr>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Adaptability Level of Online Education</w:t>
            </w:r>
          </w:p>
        </w:tc>
      </w:tr>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Marks</w:t>
            </w:r>
          </w:p>
        </w:tc>
      </w:tr>
    </w:tbl>
    <w:p>
      <w:pPr>
        <w:widowControl w:val="false"/>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 Plan &amp; Raw Data Sources Identification Template</w:t>
      </w:r>
    </w:p>
    <w:p>
      <w:pPr>
        <w:widowControl w:val="false"/>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Elevate your data strategy with the Data Collection plan and the Raw Data Sources report, ensuring meticulous data curation and integrity for informed decision-making in every analysis and decision-making endeavor.</w:t>
      </w:r>
    </w:p>
    <w:p>
      <w:pPr>
        <w:widowControl w:val="fals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 Plan Template</w:t>
      </w:r>
    </w:p>
    <w:tbl>
      <w:tblPr/>
      <w:tblGrid>
        <w:gridCol w:w="2565"/>
        <w:gridCol w:w="6795"/>
      </w:tblGrid>
      <w:tr>
        <w:trPr>
          <w:trHeight w:val="695" w:hRule="auto"/>
          <w:jc w:val="left"/>
          <w:cantSplit w:val="1"/>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Section</w:t>
            </w:r>
          </w:p>
        </w:tc>
        <w:tc>
          <w:tcPr>
            <w:tcW w:w="679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r>
      <w:tr>
        <w:trPr>
          <w:trHeight w:val="695" w:hRule="auto"/>
          <w:jc w:val="left"/>
          <w:cantSplit w:val="1"/>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Overview</w:t>
            </w:r>
          </w:p>
        </w:tc>
        <w:tc>
          <w:tcPr>
            <w:tcW w:w="679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This project aims to collect and analyze data to understand and enhance student adaptability to online education. The objectives include identifying key challenges, developing support tools, and implementing strategies to improve online learning experiences</w:t>
            </w:r>
          </w:p>
        </w:tc>
      </w:tr>
      <w:tr>
        <w:trPr>
          <w:trHeight w:val="1055" w:hRule="auto"/>
          <w:jc w:val="left"/>
          <w:cantSplit w:val="1"/>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Collection Plan</w:t>
            </w:r>
          </w:p>
        </w:tc>
        <w:tc>
          <w:tcPr>
            <w:tcW w:w="679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will be collected from various sources including student </w:t>
            </w:r>
          </w:p>
          <w:p>
            <w:pPr>
              <w:widowControl w:val="false"/>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surveys, online engagement metrics, academic performance </w:t>
            </w:r>
          </w:p>
          <w:p>
            <w:pPr>
              <w:widowControl w:val="false"/>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records and  qualitative feedback from focus groups</w:t>
            </w:r>
          </w:p>
        </w:tc>
      </w:tr>
      <w:tr>
        <w:trPr>
          <w:trHeight w:val="1055" w:hRule="auto"/>
          <w:jc w:val="left"/>
          <w:cantSplit w:val="1"/>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Raw Data Sources Identified</w:t>
            </w:r>
          </w:p>
        </w:tc>
        <w:tc>
          <w:tcPr>
            <w:tcW w:w="679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following are the identified raw data sources that will provide valuable insights into student adaptability to online education.</w:t>
            </w:r>
          </w:p>
        </w:tc>
      </w:tr>
    </w:tbl>
    <w:p>
      <w:pPr>
        <w:widowControl w:val="fals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Raw Data Sources Template</w:t>
      </w:r>
    </w:p>
    <w:tbl>
      <w:tblPr/>
      <w:tblGrid>
        <w:gridCol w:w="1383"/>
        <w:gridCol w:w="2180"/>
        <w:gridCol w:w="1962"/>
        <w:gridCol w:w="1152"/>
        <w:gridCol w:w="909"/>
        <w:gridCol w:w="1773"/>
      </w:tblGrid>
      <w:tr>
        <w:trPr>
          <w:trHeight w:val="1055" w:hRule="auto"/>
          <w:jc w:val="left"/>
          <w:cantSplit w:val="1"/>
        </w:trPr>
        <w:tc>
          <w:tcPr>
            <w:tcW w:w="138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Source Name</w:t>
            </w:r>
          </w:p>
        </w:tc>
        <w:tc>
          <w:tcPr>
            <w:tcW w:w="21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196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Location/URL</w:t>
            </w:r>
          </w:p>
        </w:tc>
        <w:tc>
          <w:tcPr>
            <w:tcW w:w="115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Format</w:t>
            </w:r>
          </w:p>
        </w:tc>
        <w:tc>
          <w:tcPr>
            <w:tcW w:w="90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Size</w:t>
            </w:r>
          </w:p>
        </w:tc>
        <w:tc>
          <w:tcPr>
            <w:tcW w:w="177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Access Permissions</w:t>
            </w:r>
          </w:p>
        </w:tc>
      </w:tr>
      <w:tr>
        <w:trPr>
          <w:trHeight w:val="1055" w:hRule="auto"/>
          <w:jc w:val="left"/>
          <w:cantSplit w:val="1"/>
        </w:trPr>
        <w:tc>
          <w:tcPr>
            <w:tcW w:w="138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Surveys</w:t>
            </w:r>
          </w:p>
        </w:tc>
        <w:tc>
          <w:tcPr>
            <w:tcW w:w="21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Responses from students regarding their experiences and challenges with online education.</w:t>
            </w:r>
          </w:p>
        </w:tc>
        <w:tc>
          <w:tcPr>
            <w:tcW w:w="196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Survey Link</w:t>
            </w:r>
          </w:p>
        </w:tc>
        <w:tc>
          <w:tcPr>
            <w:tcW w:w="115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CSV</w:t>
            </w:r>
          </w:p>
        </w:tc>
        <w:tc>
          <w:tcPr>
            <w:tcW w:w="90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1GB</w:t>
            </w:r>
          </w:p>
        </w:tc>
        <w:tc>
          <w:tcPr>
            <w:tcW w:w="177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Public</w:t>
            </w:r>
          </w:p>
        </w:tc>
      </w:tr>
      <w:tr>
        <w:trPr>
          <w:trHeight w:val="1055" w:hRule="auto"/>
          <w:jc w:val="left"/>
          <w:cantSplit w:val="1"/>
        </w:trPr>
        <w:tc>
          <w:tcPr>
            <w:tcW w:w="138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Engagement  Metrics</w:t>
            </w:r>
          </w:p>
        </w:tc>
        <w:tc>
          <w:tcPr>
            <w:tcW w:w="21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on student interactions with online learning platforms (e.g., login frequency, time spent on activities).</w:t>
            </w:r>
          </w:p>
        </w:tc>
        <w:tc>
          <w:tcPr>
            <w:tcW w:w="196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Platform Analytics</w:t>
            </w:r>
          </w:p>
        </w:tc>
        <w:tc>
          <w:tcPr>
            <w:tcW w:w="115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JSON</w:t>
            </w:r>
          </w:p>
        </w:tc>
        <w:tc>
          <w:tcPr>
            <w:tcW w:w="90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2GB</w:t>
            </w:r>
          </w:p>
        </w:tc>
        <w:tc>
          <w:tcPr>
            <w:tcW w:w="177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Private (with access)</w:t>
            </w:r>
          </w:p>
        </w:tc>
      </w:tr>
      <w:tr>
        <w:trPr>
          <w:trHeight w:val="488" w:hRule="auto"/>
          <w:jc w:val="left"/>
          <w:cantSplit w:val="1"/>
        </w:trPr>
        <w:tc>
          <w:tcPr>
            <w:tcW w:w="138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Focus Group Feedback</w:t>
            </w:r>
          </w:p>
        </w:tc>
        <w:tc>
          <w:tcPr>
            <w:tcW w:w="21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Qualitative feedback from student focus groups discussing online learning experiences.</w:t>
            </w:r>
          </w:p>
        </w:tc>
        <w:tc>
          <w:tcPr>
            <w:tcW w:w="196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Focus Group Transcripts</w:t>
            </w:r>
          </w:p>
        </w:tc>
        <w:tc>
          <w:tcPr>
            <w:tcW w:w="115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w:t>
            </w:r>
          </w:p>
        </w:tc>
        <w:tc>
          <w:tcPr>
            <w:tcW w:w="90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5GB</w:t>
            </w:r>
          </w:p>
        </w:tc>
        <w:tc>
          <w:tcPr>
            <w:tcW w:w="177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Private (with access)</w:t>
            </w:r>
          </w:p>
        </w:tc>
      </w:tr>
    </w:tbl>
    <w:p>
      <w:pPr>
        <w:widowControl w:val="false"/>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