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32"/>
          <w:szCs w:val="32"/>
        </w:rPr>
        <w:t xml:space="preserve">Clinical Decision Making and Pattern Recognition in Health Care</w:t>
      </w:r>
    </w:p>
    <w:p>
      <w:pPr>
        <w:spacing w:after="50" w:before="0"/>
        <w:jc w:val="center"/>
      </w:pPr>
      <w:r>
        <w:rPr>
          <w:rFonts w:ascii="Calibri" w:cs="Calibri" w:eastAsia="Calibri" w:hAnsi="Calibri"/>
          <w:color w:val="0D6E6E"/>
          <w:sz w:val="23"/>
          <w:szCs w:val="23"/>
        </w:rPr>
        <w:t xml:space="preserve">Agentic AI for Treatment, Payment, and Operations — ClearDischarge POC</w:t>
      </w:r>
    </w:p>
    <w:p>
      <w:pPr>
        <w:pBdr>
          <w:bottom w:val="single" w:color="1F4E79" w:sz="8" w:space="6"/>
        </w:pBdr>
        <w:spacing w:after="200" w:before="0"/>
        <w:jc w:val="center"/>
      </w:pPr>
      <w:r>
        <w:rPr>
          <w:rFonts w:ascii="Calibri" w:cs="Calibri" w:eastAsia="Calibri" w:hAnsi="Calibri"/>
          <w:color w:val="666666"/>
          <w:sz w:val="20"/>
          <w:szCs w:val="20"/>
        </w:rPr>
        <w:t xml:space="preserve">Fnu Ramyashree  |  Cotiviti Intern Assessment  |  2026</w:t>
      </w:r>
    </w:p>
    <w:p>
      <w:pPr>
        <w:shd w:fill="1F4E79" w:color="1F4E79" w:val="solid"/>
        <w:spacing w:after="120" w:before="240"/>
      </w:pPr>
      <w:r>
        <w:rPr>
          <w:rFonts w:ascii="Calibri" w:cs="Calibri" w:eastAsia="Calibri" w:hAnsi="Calibri"/>
          <w:b/>
          <w:bCs/>
          <w:color w:val="FFFFFF"/>
          <w:sz w:val="24"/>
          <w:szCs w:val="24"/>
        </w:rPr>
        <w:t xml:space="preserve">  1.  Topic Definition</w:t>
      </w:r>
    </w:p>
    <w:p>
      <w:pPr>
        <w:spacing w:after="140" w:before="0" w:line="300"/>
        <w:jc w:val="both"/>
      </w:pPr>
      <w:r>
        <w:rPr>
          <w:rFonts w:ascii="Calibri" w:cs="Calibri" w:eastAsia="Calibri" w:hAnsi="Calibri"/>
          <w:color w:val="333333"/>
          <w:sz w:val="22"/>
          <w:szCs w:val="22"/>
        </w:rPr>
        <w:t xml:space="preserve">Clinical decision making in healthcare means turning patient information — discharge notes, lab results, medication lists, and vital signs — into the right action at the right time. For a long time this depended entirely on human expertise and rigid rule-based systems. That is changing with Agentic AI, which can reason through complex problems step by step, make autonomous decisions, and take action without someone manually directing every step.</w:t>
      </w:r>
    </w:p>
    <w:p>
      <w:pPr>
        <w:spacing w:after="140" w:before="0" w:line="300"/>
        <w:jc w:val="both"/>
      </w:pPr>
      <w:r>
        <w:rPr>
          <w:rFonts w:ascii="Calibri" w:cs="Calibri" w:eastAsia="Calibri" w:hAnsi="Calibri"/>
          <w:color w:val="333333"/>
          <w:sz w:val="22"/>
          <w:szCs w:val="22"/>
        </w:rPr>
        <w:t xml:space="preserve">Topic 2 covers the core building blocks that make this possible: chain reasoning, classification, prediction, inference, and time-series anomaly detection, applied to Treatment, Payment, and Operations (TPO). To demonstrate these in practice, I built ClearDischarge — a fully local, open-source agentic AI system that tackles two real healthcare problems: helping patients understand their hospital discharge notes, and monitoring their vital signs after they go home.</w:t>
      </w:r>
    </w:p>
    <w:p>
      <w:pPr>
        <w:shd w:fill="1F4E79" w:color="1F4E79" w:val="solid"/>
        <w:spacing w:after="120" w:before="240"/>
      </w:pPr>
      <w:r>
        <w:rPr>
          <w:rFonts w:ascii="Calibri" w:cs="Calibri" w:eastAsia="Calibri" w:hAnsi="Calibri"/>
          <w:b/>
          <w:bCs/>
          <w:color w:val="FFFFFF"/>
          <w:sz w:val="24"/>
          <w:szCs w:val="24"/>
        </w:rPr>
        <w:t xml:space="preserve">  2.  ClearDischarge: Proof of Concept</w:t>
      </w:r>
    </w:p>
    <w:p>
      <w:pPr>
        <w:spacing w:after="140" w:before="0" w:line="300"/>
        <w:jc w:val="both"/>
      </w:pPr>
      <w:r>
        <w:rPr>
          <w:rFonts w:ascii="Calibri" w:cs="Calibri" w:eastAsia="Calibri" w:hAnsi="Calibri"/>
          <w:color w:val="333333"/>
          <w:sz w:val="22"/>
          <w:szCs w:val="22"/>
        </w:rPr>
        <w:t xml:space="preserve">ClearDischarge has two modules. Module 1 takes a hospital discharge note and turns it into plain language a patient can understand and act on. Module 2 monitors 7 days of post-discharge vital sign readings and detects warning patterns. Everything runs on a local machine with no internet connection required and no patient data sent anywhere — making it safe for real healthcare deployment. The system indexes 49,423 text chunks from four trusted sources: FDA drug labels, NIH MedlinePlus, PubMed abstracts, and a clinical Q&amp;A dataset.</w:t>
      </w:r>
    </w:p>
    <w:p>
      <w:pPr>
        <w:spacing w:after="140" w:before="0" w:line="300"/>
        <w:jc w:val="both"/>
      </w:pPr>
      <w:r>
        <w:rPr>
          <w:rFonts w:ascii="Calibri" w:cs="Calibri" w:eastAsia="Calibri" w:hAnsi="Calibri"/>
          <w:color w:val="333333"/>
          <w:sz w:val="22"/>
          <w:szCs w:val="22"/>
        </w:rPr>
        <w:t xml:space="preserve">Four new functions were built to demonstrate the Topic 2 primitives directly:</w:t>
      </w:r>
    </w:p>
    <w:p>
      <w:pPr>
        <w:pStyle w:val="ListParagraph"/>
        <w:numPr>
          <w:ilvl w:val="0"/>
          <w:numId w:val="2"/>
        </w:numPr>
        <w:spacing w:after="40" w:before="40"/>
      </w:pPr>
      <w:r>
        <w:rPr>
          <w:rFonts w:ascii="Calibri" w:cs="Calibri" w:eastAsia="Calibri" w:hAnsi="Calibri"/>
          <w:b/>
          <w:bCs/>
          <w:color w:val="1A1A2E"/>
          <w:sz w:val="22"/>
          <w:szCs w:val="22"/>
        </w:rPr>
        <w:t xml:space="preserve">classify_intent() — Classification: </w:t>
      </w:r>
      <w:r>
        <w:rPr>
          <w:rFonts w:ascii="Calibri" w:cs="Calibri" w:eastAsia="Calibri" w:hAnsi="Calibri"/>
          <w:color w:val="333333"/>
          <w:sz w:val="22"/>
          <w:szCs w:val="22"/>
        </w:rPr>
        <w:t xml:space="preserve">Reads any incoming query and labels it as medication, follow_up, warning_sign, diagnosis, or general. Uses a scored pattern classifier rather than simple keyword matching.</w:t>
      </w:r>
    </w:p>
    <w:p>
      <w:pPr>
        <w:pStyle w:val="ListParagraph"/>
        <w:numPr>
          <w:ilvl w:val="0"/>
          <w:numId w:val="2"/>
        </w:numPr>
        <w:spacing w:after="40" w:before="40"/>
      </w:pPr>
      <w:r>
        <w:rPr>
          <w:rFonts w:ascii="Calibri" w:cs="Calibri" w:eastAsia="Calibri" w:hAnsi="Calibri"/>
          <w:b/>
          <w:bCs/>
          <w:color w:val="1A1A2E"/>
          <w:sz w:val="22"/>
          <w:szCs w:val="22"/>
        </w:rPr>
        <w:t xml:space="preserve">route_query() — Agentic Routing &amp; Chain Reasoning: </w:t>
      </w:r>
      <w:r>
        <w:rPr>
          <w:rFonts w:ascii="Calibri" w:cs="Calibri" w:eastAsia="Calibri" w:hAnsi="Calibri"/>
          <w:color w:val="333333"/>
          <w:sz w:val="22"/>
          <w:szCs w:val="22"/>
        </w:rPr>
        <w:t xml:space="preserve">Uses the classification to decide which databases to search rather than running all four retrievals every time. Evaluation shows MRR of 0.576 and Recall@5 of 0.55 — the right information surfaces in the top two results on average.</w:t>
      </w:r>
    </w:p>
    <w:p>
      <w:pPr>
        <w:pStyle w:val="ListParagraph"/>
        <w:numPr>
          <w:ilvl w:val="0"/>
          <w:numId w:val="2"/>
        </w:numPr>
        <w:spacing w:after="40" w:before="40"/>
      </w:pPr>
      <w:r>
        <w:rPr>
          <w:rFonts w:ascii="Calibri" w:cs="Calibri" w:eastAsia="Calibri" w:hAnsi="Calibri"/>
          <w:b/>
          <w:bCs/>
          <w:color w:val="1A1A2E"/>
          <w:sz w:val="22"/>
          <w:szCs w:val="22"/>
        </w:rPr>
        <w:t xml:space="preserve">score_readmission_risk() — Prediction: </w:t>
      </w:r>
      <w:r>
        <w:rPr>
          <w:rFonts w:ascii="Calibri" w:cs="Calibri" w:eastAsia="Calibri" w:hAnsi="Calibri"/>
          <w:color w:val="333333"/>
          <w:sz w:val="22"/>
          <w:szCs w:val="22"/>
        </w:rPr>
        <w:t xml:space="preserve">Scans discharge notes for high-risk clinical signals (heart failure, COPD, sepsis, diabetes) and outputs LOW, MEDIUM, or HIGH risk with a care recommendation. Addresses the documented 19.6% Medicare 30-day readmission rate costing $17.4 billion annually (Jencks et al., 2009).</w:t>
      </w:r>
    </w:p>
    <w:p>
      <w:pPr>
        <w:pStyle w:val="ListParagraph"/>
        <w:numPr>
          <w:ilvl w:val="0"/>
          <w:numId w:val="2"/>
        </w:numPr>
        <w:spacing w:after="40" w:before="40"/>
      </w:pPr>
      <w:r>
        <w:rPr>
          <w:rFonts w:ascii="Calibri" w:cs="Calibri" w:eastAsia="Calibri" w:hAnsi="Calibri"/>
          <w:b/>
          <w:bCs/>
          <w:color w:val="1A1A2E"/>
          <w:sz w:val="22"/>
          <w:szCs w:val="22"/>
        </w:rPr>
        <w:t xml:space="preserve">detect_vitals_anomaly() — Time-Series Anomaly Detection &amp; Pattern Recognition: </w:t>
      </w:r>
      <w:r>
        <w:rPr>
          <w:rFonts w:ascii="Calibri" w:cs="Calibri" w:eastAsia="Calibri" w:hAnsi="Calibri"/>
          <w:color w:val="333333"/>
          <w:sz w:val="22"/>
          <w:szCs w:val="22"/>
        </w:rPr>
        <w:t xml:space="preserve">Takes 7 days of daily weight and blood pressure readings and detects dangerous patterns using z-score statistical analysis. Classifies the trend as STABLE, WARNING, or CRITICAL with a specific patient recommendation.</w:t>
      </w:r>
    </w:p>
    <w:p>
      <w:pPr>
        <w:shd w:fill="1F4E79" w:color="1F4E79" w:val="solid"/>
        <w:spacing w:after="120" w:before="240"/>
      </w:pPr>
      <w:r>
        <w:rPr>
          <w:rFonts w:ascii="Calibri" w:cs="Calibri" w:eastAsia="Calibri" w:hAnsi="Calibri"/>
          <w:b/>
          <w:bCs/>
          <w:color w:val="FFFFFF"/>
          <w:sz w:val="24"/>
          <w:szCs w:val="24"/>
        </w:rPr>
        <w:t xml:space="preserve">  3.  Relevant Trends</w:t>
      </w:r>
    </w:p>
    <w:p>
      <w:pPr>
        <w:spacing w:after="140" w:before="0" w:line="300"/>
        <w:jc w:val="both"/>
      </w:pPr>
      <w:r>
        <w:rPr>
          <w:rFonts w:ascii="Calibri" w:cs="Calibri" w:eastAsia="Calibri" w:hAnsi="Calibri"/>
          <w:color w:val="333333"/>
          <w:sz w:val="22"/>
          <w:szCs w:val="22"/>
        </w:rPr>
        <w:t xml:space="preserve">Three trends make this the right moment for investment. First, open-source models like LLaMA 3.1 8B now run on consumer hardware, eliminating cloud API dependency and enabling HIPAA-compliant on-premises deployment (Meta AI, 2024). Second, Retrieval-Augmented Generation (RAG) has been shown to substantially reduce hallucination in language models — a critical safety requirement for clinical applications (Lewis et al., 2020). Hybrid retrieval systems combining BM25 keyword search with dense semantic embeddings consistently outperform either approach alone (Cormack et al., 2009). Third, CMS value-based care contracts are creating direct financial incentives to reduce preventable readmissions, aligning payer and provider interests with the capabilities ClearDischarge demonstrates.</w:t>
      </w:r>
    </w:p>
    <w:p>
      <w:pPr>
        <w:shd w:fill="1F4E79" w:color="1F4E79" w:val="solid"/>
        <w:spacing w:after="120" w:before="240"/>
      </w:pPr>
      <w:r>
        <w:rPr>
          <w:rFonts w:ascii="Calibri" w:cs="Calibri" w:eastAsia="Calibri" w:hAnsi="Calibri"/>
          <w:b/>
          <w:bCs/>
          <w:color w:val="FFFFFF"/>
          <w:sz w:val="24"/>
          <w:szCs w:val="24"/>
        </w:rPr>
        <w:t xml:space="preserve">  4.  Opportunities and Threats</w:t>
      </w:r>
    </w:p>
    <w:p>
      <w:pPr>
        <w:spacing w:after="80" w:before="160"/>
      </w:pPr>
      <w:r>
        <w:rPr>
          <w:rFonts w:ascii="Calibri" w:cs="Calibri" w:eastAsia="Calibri" w:hAnsi="Calibri"/>
          <w:b/>
          <w:bCs/>
          <w:color w:val="0D6E6E"/>
          <w:sz w:val="22"/>
          <w:szCs w:val="22"/>
        </w:rPr>
        <w:t xml:space="preserve">Opportunities</w:t>
      </w:r>
    </w:p>
    <w:p>
      <w:pPr>
        <w:pStyle w:val="ListParagraph"/>
        <w:numPr>
          <w:ilvl w:val="0"/>
          <w:numId w:val="2"/>
        </w:numPr>
        <w:spacing w:after="40" w:before="40"/>
      </w:pPr>
      <w:r>
        <w:rPr>
          <w:rFonts w:ascii="Calibri" w:cs="Calibri" w:eastAsia="Calibri" w:hAnsi="Calibri"/>
          <w:b/>
          <w:bCs/>
          <w:color w:val="1A1A2E"/>
          <w:sz w:val="22"/>
          <w:szCs w:val="22"/>
        </w:rPr>
        <w:t xml:space="preserve">Discharge risk scoring at scale: </w:t>
      </w:r>
      <w:r>
        <w:rPr>
          <w:rFonts w:ascii="Calibri" w:cs="Calibri" w:eastAsia="Calibri" w:hAnsi="Calibri"/>
          <w:color w:val="333333"/>
          <w:sz w:val="22"/>
          <w:szCs w:val="22"/>
        </w:rPr>
        <w:t xml:space="preserve">Flag high-risk patients at the moment of discharge and monitor their vitals in the days that follow. The risk scorer and anomaly detector work together as a complete post-discharge safety system.</w:t>
      </w:r>
    </w:p>
    <w:p>
      <w:pPr>
        <w:pStyle w:val="ListParagraph"/>
        <w:numPr>
          <w:ilvl w:val="0"/>
          <w:numId w:val="2"/>
        </w:numPr>
        <w:spacing w:after="40" w:before="40"/>
      </w:pPr>
      <w:r>
        <w:rPr>
          <w:rFonts w:ascii="Calibri" w:cs="Calibri" w:eastAsia="Calibri" w:hAnsi="Calibri"/>
          <w:b/>
          <w:bCs/>
          <w:color w:val="1A1A2E"/>
          <w:sz w:val="22"/>
          <w:szCs w:val="22"/>
        </w:rPr>
        <w:t xml:space="preserve">Prior authorization automation: </w:t>
      </w:r>
      <w:r>
        <w:rPr>
          <w:rFonts w:ascii="Calibri" w:cs="Calibri" w:eastAsia="Calibri" w:hAnsi="Calibri"/>
          <w:color w:val="333333"/>
          <w:sz w:val="22"/>
          <w:szCs w:val="22"/>
        </w:rPr>
        <w:t xml:space="preserve">The same classification and chain reasoning pipeline can classify request types, retrieve relevant coverage policies, and generate draft authorization decisions automatically.</w:t>
      </w:r>
    </w:p>
    <w:p>
      <w:pPr>
        <w:pStyle w:val="ListParagraph"/>
        <w:numPr>
          <w:ilvl w:val="0"/>
          <w:numId w:val="2"/>
        </w:numPr>
        <w:spacing w:after="40" w:before="40"/>
      </w:pPr>
      <w:r>
        <w:rPr>
          <w:rFonts w:ascii="Calibri" w:cs="Calibri" w:eastAsia="Calibri" w:hAnsi="Calibri"/>
          <w:b/>
          <w:bCs/>
          <w:color w:val="1A1A2E"/>
          <w:sz w:val="22"/>
          <w:szCs w:val="22"/>
        </w:rPr>
        <w:t xml:space="preserve">Patient literacy: </w:t>
      </w:r>
      <w:r>
        <w:rPr>
          <w:rFonts w:ascii="Calibri" w:cs="Calibri" w:eastAsia="Calibri" w:hAnsi="Calibri"/>
          <w:color w:val="333333"/>
          <w:sz w:val="22"/>
          <w:szCs w:val="22"/>
        </w:rPr>
        <w:t xml:space="preserve">Discharge notes are written at a 9th-grade reading level while the average American reads at a 6th-grade level (National Assessment of Adult Literacy, 2006). AI that bridges this gap directly reduces medication errors and missed follow-ups.</w:t>
      </w:r>
    </w:p>
    <w:p>
      <w:pPr>
        <w:spacing w:after="0" w:before="60"/>
      </w:pPr>
      <w:r>
        <w:t xml:space="preserve"/>
      </w:r>
    </w:p>
    <w:p>
      <w:pPr>
        <w:spacing w:after="80" w:before="160"/>
      </w:pPr>
      <w:r>
        <w:rPr>
          <w:rFonts w:ascii="Calibri" w:cs="Calibri" w:eastAsia="Calibri" w:hAnsi="Calibri"/>
          <w:b/>
          <w:bCs/>
          <w:color w:val="0D6E6E"/>
          <w:sz w:val="22"/>
          <w:szCs w:val="22"/>
        </w:rPr>
        <w:t xml:space="preserve">Threats</w:t>
      </w:r>
    </w:p>
    <w:p>
      <w:pPr>
        <w:pStyle w:val="ListParagraph"/>
        <w:numPr>
          <w:ilvl w:val="0"/>
          <w:numId w:val="2"/>
        </w:numPr>
        <w:spacing w:after="40" w:before="40"/>
      </w:pPr>
      <w:r>
        <w:rPr>
          <w:rFonts w:ascii="Calibri" w:cs="Calibri" w:eastAsia="Calibri" w:hAnsi="Calibri"/>
          <w:b/>
          <w:bCs/>
          <w:color w:val="1A1A2E"/>
          <w:sz w:val="22"/>
          <w:szCs w:val="22"/>
        </w:rPr>
        <w:t xml:space="preserve">Hallucination risk: </w:t>
      </w:r>
      <w:r>
        <w:rPr>
          <w:rFonts w:ascii="Calibri" w:cs="Calibri" w:eastAsia="Calibri" w:hAnsi="Calibri"/>
          <w:color w:val="333333"/>
          <w:sz w:val="22"/>
          <w:szCs w:val="22"/>
        </w:rPr>
        <w:t xml:space="preserve">Language models without retrieval grounding will generate plausible but incorrect medical information. ClearDischarge's provenance panel — showing exactly which FDA or NIH source supported each claim — is the right design pattern.</w:t>
      </w:r>
    </w:p>
    <w:p>
      <w:pPr>
        <w:pStyle w:val="ListParagraph"/>
        <w:numPr>
          <w:ilvl w:val="0"/>
          <w:numId w:val="2"/>
        </w:numPr>
        <w:spacing w:after="40" w:before="40"/>
      </w:pPr>
      <w:r>
        <w:rPr>
          <w:rFonts w:ascii="Calibri" w:cs="Calibri" w:eastAsia="Calibri" w:hAnsi="Calibri"/>
          <w:b/>
          <w:bCs/>
          <w:color w:val="1A1A2E"/>
          <w:sz w:val="22"/>
          <w:szCs w:val="22"/>
        </w:rPr>
        <w:t xml:space="preserve">Governance gaps: </w:t>
      </w:r>
      <w:r>
        <w:rPr>
          <w:rFonts w:ascii="Calibri" w:cs="Calibri" w:eastAsia="Calibri" w:hAnsi="Calibri"/>
          <w:color w:val="333333"/>
          <w:sz w:val="22"/>
          <w:szCs w:val="22"/>
        </w:rPr>
        <w:t xml:space="preserve">Deploying clinical AI without bias testing, hallucination checks, and audit trails creates regulatory exposure as CMS and FDA finalize algorithmic transparency requirements.</w:t>
      </w:r>
    </w:p>
    <w:p>
      <w:pPr>
        <w:shd w:fill="1F4E79" w:color="1F4E79" w:val="solid"/>
        <w:spacing w:after="120" w:before="240"/>
      </w:pPr>
      <w:r>
        <w:rPr>
          <w:rFonts w:ascii="Calibri" w:cs="Calibri" w:eastAsia="Calibri" w:hAnsi="Calibri"/>
          <w:b/>
          <w:bCs/>
          <w:color w:val="FFFFFF"/>
          <w:sz w:val="24"/>
          <w:szCs w:val="24"/>
        </w:rPr>
        <w:t xml:space="preserve">  5.  Strategic Recommendations for Cotiviti</w:t>
      </w:r>
    </w:p>
    <w:p>
      <w:pPr>
        <w:spacing w:after="80" w:before="160"/>
      </w:pPr>
      <w:r>
        <w:rPr>
          <w:rFonts w:ascii="Calibri" w:cs="Calibri" w:eastAsia="Calibri" w:hAnsi="Calibri"/>
          <w:b/>
          <w:bCs/>
          <w:color w:val="0D6E6E"/>
          <w:sz w:val="22"/>
          <w:szCs w:val="22"/>
        </w:rPr>
        <w:t xml:space="preserve">1.  Build a Clinical RAG Platform on Proprietary Data</w:t>
      </w:r>
    </w:p>
    <w:p>
      <w:pPr>
        <w:spacing w:after="140" w:before="0" w:line="300"/>
        <w:jc w:val="both"/>
      </w:pPr>
      <w:r>
        <w:rPr>
          <w:rFonts w:ascii="Calibri" w:cs="Calibri" w:eastAsia="Calibri" w:hAnsi="Calibri"/>
          <w:color w:val="333333"/>
          <w:sz w:val="22"/>
          <w:szCs w:val="22"/>
        </w:rPr>
        <w:t xml:space="preserve">Invest in a local retrieval system built on Cotiviti's own claims and clinical data — the same architecture demonstrated in ClearDischarge. This becomes the foundation for every agentic application: prior auth, discharge risk, coding policy, and member Q&amp;A. Running on-premises ensures HIPAA compliance and eliminates cloud vendor dependency.</w:t>
      </w:r>
    </w:p>
    <w:p>
      <w:pPr>
        <w:spacing w:after="80" w:before="160"/>
      </w:pPr>
      <w:r>
        <w:rPr>
          <w:rFonts w:ascii="Calibri" w:cs="Calibri" w:eastAsia="Calibri" w:hAnsi="Calibri"/>
          <w:b/>
          <w:bCs/>
          <w:color w:val="0D6E6E"/>
          <w:sz w:val="22"/>
          <w:szCs w:val="22"/>
        </w:rPr>
        <w:t xml:space="preserve">2.  Productize Discharge Risk Scoring and Vitals Monitoring</w:t>
      </w:r>
    </w:p>
    <w:p>
      <w:pPr>
        <w:spacing w:after="140" w:before="0" w:line="300"/>
        <w:jc w:val="both"/>
      </w:pPr>
      <w:r>
        <w:rPr>
          <w:rFonts w:ascii="Calibri" w:cs="Calibri" w:eastAsia="Calibri" w:hAnsi="Calibri"/>
          <w:color w:val="333333"/>
          <w:sz w:val="22"/>
          <w:szCs w:val="22"/>
        </w:rPr>
        <w:t xml:space="preserve">The risk scorer, agentic router, and vitals anomaly detector in ClearDischarge are already working. The next step is connecting them to health system workflows and building a care coordinator dashboard. Given that preventable readmissions cost over $17 billion annually, even a modest improvement in patient identification generates significant shared savings under value-based care contracts.</w:t>
      </w:r>
    </w:p>
    <w:p>
      <w:pPr>
        <w:spacing w:after="80" w:before="160"/>
      </w:pPr>
      <w:r>
        <w:rPr>
          <w:rFonts w:ascii="Calibri" w:cs="Calibri" w:eastAsia="Calibri" w:hAnsi="Calibri"/>
          <w:b/>
          <w:bCs/>
          <w:color w:val="0D6E6E"/>
          <w:sz w:val="22"/>
          <w:szCs w:val="22"/>
        </w:rPr>
        <w:t xml:space="preserve">3.  Build AI Governance Infrastructure Now</w:t>
      </w:r>
    </w:p>
    <w:p>
      <w:pPr>
        <w:spacing w:after="140" w:before="0" w:line="300"/>
        <w:jc w:val="both"/>
      </w:pPr>
      <w:r>
        <w:rPr>
          <w:rFonts w:ascii="Calibri" w:cs="Calibri" w:eastAsia="Calibri" w:hAnsi="Calibri"/>
          <w:color w:val="333333"/>
          <w:sz w:val="22"/>
          <w:szCs w:val="22"/>
        </w:rPr>
        <w:t xml:space="preserve">Establish mandatory provenance tracking, hallucination testing, and bias auditing for all clinical AI deployments from day one. In a regulated industry, an AI system that can demonstrate its reasoning and cite authoritative sources is more trusted by clinicians and more defensible to regulators — a durable competitive advantage.</w:t>
      </w:r>
    </w:p>
    <w:p>
      <w:pPr>
        <w:spacing w:after="0" w:before="0"/>
      </w:pPr>
      <w:r>
        <w:br w:type="page"/>
      </w:r>
    </w:p>
    <w:p>
      <w:pPr>
        <w:spacing w:after="200" w:before="0" w:line="480"/>
        <w:jc w:val="center"/>
      </w:pPr>
      <w:r>
        <w:rPr>
          <w:rFonts w:ascii="Calibri" w:cs="Calibri" w:eastAsia="Calibri" w:hAnsi="Calibri"/>
          <w:b/>
          <w:bCs/>
          <w:color w:val="1F4E79"/>
          <w:sz w:val="28"/>
          <w:szCs w:val="28"/>
        </w:rPr>
        <w:t xml:space="preserve">References</w:t>
      </w:r>
    </w:p>
    <w:p>
      <w:pPr>
        <w:spacing w:after="120" w:before="0" w:line="276"/>
        <w:ind w:left="720" w:hanging="720"/>
      </w:pPr>
      <w:r>
        <w:rPr>
          <w:rFonts w:ascii="Calibri" w:cs="Calibri" w:eastAsia="Calibri" w:hAnsi="Calibri"/>
          <w:i w:val="false"/>
          <w:iCs w:val="false"/>
          <w:color w:val="333333"/>
          <w:sz w:val="21"/>
          <w:szCs w:val="21"/>
        </w:rPr>
        <w:t xml:space="preserve">Cormack, G. V., Clarke, C. L. A., &amp; Buettcher, S. (2009). Reciprocal rank fusion outperforms Condorcet and individual rank learning methods. </w:t>
      </w:r>
      <w:r>
        <w:rPr>
          <w:rFonts w:ascii="Calibri" w:cs="Calibri" w:eastAsia="Calibri" w:hAnsi="Calibri"/>
          <w:i/>
          <w:iCs/>
          <w:color w:val="333333"/>
          <w:sz w:val="21"/>
          <w:szCs w:val="21"/>
        </w:rPr>
        <w:t xml:space="preserve">Proceedings of the 32nd International ACM SIGIR Conference,</w:t>
      </w:r>
      <w:r>
        <w:rPr>
          <w:rFonts w:ascii="Calibri" w:cs="Calibri" w:eastAsia="Calibri" w:hAnsi="Calibri"/>
          <w:i w:val="false"/>
          <w:iCs w:val="false"/>
          <w:color w:val="333333"/>
          <w:sz w:val="21"/>
          <w:szCs w:val="21"/>
        </w:rPr>
        <w:t xml:space="preserve"> 758–759. https://doi.org/10.1145/1571941.1572114</w:t>
      </w:r>
    </w:p>
    <w:p>
      <w:pPr>
        <w:spacing w:after="120" w:before="0" w:line="276"/>
        <w:ind w:left="720" w:hanging="720"/>
      </w:pPr>
      <w:r>
        <w:rPr>
          <w:rFonts w:ascii="Calibri" w:cs="Calibri" w:eastAsia="Calibri" w:hAnsi="Calibri"/>
          <w:i w:val="false"/>
          <w:iCs w:val="false"/>
          <w:color w:val="333333"/>
          <w:sz w:val="21"/>
          <w:szCs w:val="21"/>
        </w:rPr>
        <w:t xml:space="preserve">Gu, Y., Tinn, R., Cheng, H., Lucas, M., Usuyama, N., Liu, X., Naumann, T., Gao, J., &amp; Poon, H. (2021). Domain-specific language model pretraining for biomedical natural language processing. </w:t>
      </w:r>
      <w:r>
        <w:rPr>
          <w:rFonts w:ascii="Calibri" w:cs="Calibri" w:eastAsia="Calibri" w:hAnsi="Calibri"/>
          <w:i/>
          <w:iCs/>
          <w:color w:val="333333"/>
          <w:sz w:val="21"/>
          <w:szCs w:val="21"/>
        </w:rPr>
        <w:t xml:space="preserve">ACM Transactions on Computing for Healthcare, 3</w:t>
      </w:r>
      <w:r>
        <w:rPr>
          <w:rFonts w:ascii="Calibri" w:cs="Calibri" w:eastAsia="Calibri" w:hAnsi="Calibri"/>
          <w:i w:val="false"/>
          <w:iCs w:val="false"/>
          <w:color w:val="333333"/>
          <w:sz w:val="21"/>
          <w:szCs w:val="21"/>
        </w:rPr>
        <w:t xml:space="preserve">(1), 1–23. https://doi.org/10.1145/3458754</w:t>
      </w:r>
    </w:p>
    <w:p>
      <w:pPr>
        <w:spacing w:after="120" w:before="0" w:line="276"/>
        <w:ind w:left="720" w:hanging="720"/>
      </w:pPr>
      <w:r>
        <w:rPr>
          <w:rFonts w:ascii="Calibri" w:cs="Calibri" w:eastAsia="Calibri" w:hAnsi="Calibri"/>
          <w:i w:val="false"/>
          <w:iCs w:val="false"/>
          <w:color w:val="333333"/>
          <w:sz w:val="21"/>
          <w:szCs w:val="21"/>
        </w:rPr>
        <w:t xml:space="preserve">Jencks, S. F., Williams, M. V., &amp; Coleman, E. A. (2009). Rehospitalizations among patients in the Medicare fee-for-service program. </w:t>
      </w:r>
      <w:r>
        <w:rPr>
          <w:rFonts w:ascii="Calibri" w:cs="Calibri" w:eastAsia="Calibri" w:hAnsi="Calibri"/>
          <w:i/>
          <w:iCs/>
          <w:color w:val="333333"/>
          <w:sz w:val="21"/>
          <w:szCs w:val="21"/>
        </w:rPr>
        <w:t xml:space="preserve">New England Journal of Medicine, 360</w:t>
      </w:r>
      <w:r>
        <w:rPr>
          <w:rFonts w:ascii="Calibri" w:cs="Calibri" w:eastAsia="Calibri" w:hAnsi="Calibri"/>
          <w:i w:val="false"/>
          <w:iCs w:val="false"/>
          <w:color w:val="333333"/>
          <w:sz w:val="21"/>
          <w:szCs w:val="21"/>
        </w:rPr>
        <w:t xml:space="preserve">(14), 1418–1428. https://doi.org/10.1056/NEJMsa0803563</w:t>
      </w:r>
    </w:p>
    <w:p>
      <w:pPr>
        <w:spacing w:after="120" w:before="0" w:line="276"/>
        <w:ind w:left="720" w:hanging="720"/>
      </w:pPr>
      <w:r>
        <w:rPr>
          <w:rFonts w:ascii="Calibri" w:cs="Calibri" w:eastAsia="Calibri" w:hAnsi="Calibri"/>
          <w:i w:val="false"/>
          <w:iCs w:val="false"/>
          <w:color w:val="333333"/>
          <w:sz w:val="21"/>
          <w:szCs w:val="21"/>
        </w:rPr>
        <w:t xml:space="preserve">Lewis, P., Perez, E., Piktus, A., Petroni, F., Karpukhin, V., Goyal, N., Küttler, H., Lewis, M., Yih, W., Rocktäschel, T., Riedel, S., &amp; Kiela, D. (2020). Retrieval-augmented generation for knowledge-intensive NLP tasks. </w:t>
      </w:r>
      <w:r>
        <w:rPr>
          <w:rFonts w:ascii="Calibri" w:cs="Calibri" w:eastAsia="Calibri" w:hAnsi="Calibri"/>
          <w:i/>
          <w:iCs/>
          <w:color w:val="333333"/>
          <w:sz w:val="21"/>
          <w:szCs w:val="21"/>
        </w:rPr>
        <w:t xml:space="preserve">Advances in Neural Information Processing Systems, 33,</w:t>
      </w:r>
      <w:r>
        <w:rPr>
          <w:rFonts w:ascii="Calibri" w:cs="Calibri" w:eastAsia="Calibri" w:hAnsi="Calibri"/>
          <w:i w:val="false"/>
          <w:iCs w:val="false"/>
          <w:color w:val="333333"/>
          <w:sz w:val="21"/>
          <w:szCs w:val="21"/>
        </w:rPr>
        <w:t xml:space="preserve"> 9459–9474. https://arxiv.org/abs/2005.11401</w:t>
      </w:r>
    </w:p>
    <w:p>
      <w:pPr>
        <w:spacing w:after="120" w:before="0" w:line="276"/>
        <w:ind w:left="720" w:hanging="720"/>
      </w:pPr>
      <w:r>
        <w:rPr>
          <w:rFonts w:ascii="Calibri" w:cs="Calibri" w:eastAsia="Calibri" w:hAnsi="Calibri"/>
          <w:i w:val="false"/>
          <w:iCs w:val="false"/>
          <w:color w:val="333333"/>
          <w:sz w:val="21"/>
          <w:szCs w:val="21"/>
        </w:rPr>
        <w:t xml:space="preserve">Meta AI. (2024). </w:t>
      </w:r>
      <w:r>
        <w:rPr>
          <w:rFonts w:ascii="Calibri" w:cs="Calibri" w:eastAsia="Calibri" w:hAnsi="Calibri"/>
          <w:i/>
          <w:iCs/>
          <w:color w:val="333333"/>
          <w:sz w:val="21"/>
          <w:szCs w:val="21"/>
        </w:rPr>
        <w:t xml:space="preserve">LLaMA 3.1: Open foundation and fine-tuned chat models.</w:t>
      </w:r>
      <w:r>
        <w:rPr>
          <w:rFonts w:ascii="Calibri" w:cs="Calibri" w:eastAsia="Calibri" w:hAnsi="Calibri"/>
          <w:i w:val="false"/>
          <w:iCs w:val="false"/>
          <w:color w:val="333333"/>
          <w:sz w:val="21"/>
          <w:szCs w:val="21"/>
        </w:rPr>
        <w:t xml:space="preserve"> https://ai.meta.com/blog/meta-llama-3-1/</w:t>
      </w:r>
    </w:p>
    <w:p>
      <w:pPr>
        <w:spacing w:after="120" w:before="0" w:line="276"/>
        <w:ind w:left="720" w:hanging="720"/>
      </w:pPr>
      <w:r>
        <w:rPr>
          <w:rFonts w:ascii="Calibri" w:cs="Calibri" w:eastAsia="Calibri" w:hAnsi="Calibri"/>
          <w:i w:val="false"/>
          <w:iCs w:val="false"/>
          <w:color w:val="333333"/>
          <w:sz w:val="21"/>
          <w:szCs w:val="21"/>
        </w:rPr>
        <w:t xml:space="preserve">National Assessment of Adult Literacy. (2006). </w:t>
      </w:r>
      <w:r>
        <w:rPr>
          <w:rFonts w:ascii="Calibri" w:cs="Calibri" w:eastAsia="Calibri" w:hAnsi="Calibri"/>
          <w:i/>
          <w:iCs/>
          <w:color w:val="333333"/>
          <w:sz w:val="21"/>
          <w:szCs w:val="21"/>
        </w:rPr>
        <w:t xml:space="preserve">A first look at the literacy of America's adults in the 21st century.</w:t>
      </w:r>
      <w:r>
        <w:rPr>
          <w:rFonts w:ascii="Calibri" w:cs="Calibri" w:eastAsia="Calibri" w:hAnsi="Calibri"/>
          <w:i w:val="false"/>
          <w:iCs w:val="false"/>
          <w:color w:val="333333"/>
          <w:sz w:val="21"/>
          <w:szCs w:val="21"/>
        </w:rPr>
        <w:t xml:space="preserve"> National Center for Education Statistics, U.S. Department of Education.</w:t>
      </w:r>
    </w:p>
    <w:p>
      <w:pPr>
        <w:spacing w:after="120" w:before="0" w:line="276"/>
        <w:ind w:left="720" w:hanging="720"/>
      </w:pPr>
      <w:r>
        <w:rPr>
          <w:rFonts w:ascii="Calibri" w:cs="Calibri" w:eastAsia="Calibri" w:hAnsi="Calibri"/>
          <w:i w:val="false"/>
          <w:iCs w:val="false"/>
          <w:color w:val="333333"/>
          <w:sz w:val="21"/>
          <w:szCs w:val="21"/>
        </w:rPr>
        <w:t xml:space="preserve">Robertson, S., &amp; Zaragoza, H. (2009). The probabilistic relevance framework: BM25 and beyond. </w:t>
      </w:r>
      <w:r>
        <w:rPr>
          <w:rFonts w:ascii="Calibri" w:cs="Calibri" w:eastAsia="Calibri" w:hAnsi="Calibri"/>
          <w:i/>
          <w:iCs/>
          <w:color w:val="333333"/>
          <w:sz w:val="21"/>
          <w:szCs w:val="21"/>
        </w:rPr>
        <w:t xml:space="preserve">Foundations and Trends in Information Retrieval, 3</w:t>
      </w:r>
      <w:r>
        <w:rPr>
          <w:rFonts w:ascii="Calibri" w:cs="Calibri" w:eastAsia="Calibri" w:hAnsi="Calibri"/>
          <w:i w:val="false"/>
          <w:iCs w:val="false"/>
          <w:color w:val="333333"/>
          <w:sz w:val="21"/>
          <w:szCs w:val="21"/>
        </w:rPr>
        <w:t xml:space="preserve">(4), 333–389. https://doi.org/10.1561/1500000019</w:t>
      </w:r>
    </w:p>
    <w:p>
      <w:pPr>
        <w:spacing w:after="120" w:before="0" w:line="276"/>
        <w:ind w:left="720" w:hanging="720"/>
      </w:pPr>
      <w:r>
        <w:rPr>
          <w:rFonts w:ascii="Calibri" w:cs="Calibri" w:eastAsia="Calibri" w:hAnsi="Calibri"/>
          <w:i w:val="false"/>
          <w:iCs w:val="false"/>
          <w:color w:val="333333"/>
          <w:sz w:val="21"/>
          <w:szCs w:val="21"/>
        </w:rPr>
        <w:t xml:space="preserve">U.S. Centers for Medicare &amp; Medicaid Services. (2024). </w:t>
      </w:r>
      <w:r>
        <w:rPr>
          <w:rFonts w:ascii="Calibri" w:cs="Calibri" w:eastAsia="Calibri" w:hAnsi="Calibri"/>
          <w:i/>
          <w:iCs/>
          <w:color w:val="333333"/>
          <w:sz w:val="21"/>
          <w:szCs w:val="21"/>
        </w:rPr>
        <w:t xml:space="preserve">Hospital Readmissions Reduction Program (HRRP).</w:t>
      </w:r>
      <w:r>
        <w:rPr>
          <w:rFonts w:ascii="Calibri" w:cs="Calibri" w:eastAsia="Calibri" w:hAnsi="Calibri"/>
          <w:i w:val="false"/>
          <w:iCs w:val="false"/>
          <w:color w:val="333333"/>
          <w:sz w:val="21"/>
          <w:szCs w:val="21"/>
        </w:rPr>
        <w:t xml:space="preserve"> U.S. Department of Health and Human Services. https://www.cms.gov/medicare/payment/prospective-payment-systems/acute-inpatient-pps/hospital-readmissions-reduction-program-hrrp</w:t>
      </w:r>
    </w:p>
    <w:p>
      <w:pPr>
        <w:spacing w:after="120" w:before="0" w:line="276"/>
        <w:ind w:left="720" w:hanging="720"/>
      </w:pPr>
      <w:r>
        <w:rPr>
          <w:rFonts w:ascii="Calibri" w:cs="Calibri" w:eastAsia="Calibri" w:hAnsi="Calibri"/>
          <w:i w:val="false"/>
          <w:iCs w:val="false"/>
          <w:color w:val="333333"/>
          <w:sz w:val="21"/>
          <w:szCs w:val="21"/>
        </w:rPr>
        <w:t xml:space="preserve">U.S. Food and Drug Administration. (2024). </w:t>
      </w:r>
      <w:r>
        <w:rPr>
          <w:rFonts w:ascii="Calibri" w:cs="Calibri" w:eastAsia="Calibri" w:hAnsi="Calibri"/>
          <w:i/>
          <w:iCs/>
          <w:color w:val="333333"/>
          <w:sz w:val="21"/>
          <w:szCs w:val="21"/>
        </w:rPr>
        <w:t xml:space="preserve">openFDA API.</w:t>
      </w:r>
      <w:r>
        <w:rPr>
          <w:rFonts w:ascii="Calibri" w:cs="Calibri" w:eastAsia="Calibri" w:hAnsi="Calibri"/>
          <w:i w:val="false"/>
          <w:iCs w:val="false"/>
          <w:color w:val="333333"/>
          <w:sz w:val="21"/>
          <w:szCs w:val="21"/>
        </w:rPr>
        <w:t xml:space="preserve"> https://open.fda.gov</w:t>
      </w:r>
    </w:p>
    <w:p>
      <w:pPr>
        <w:spacing w:after="120" w:before="0" w:line="276"/>
        <w:ind w:left="720" w:hanging="720"/>
      </w:pPr>
      <w:r>
        <w:rPr>
          <w:rFonts w:ascii="Calibri" w:cs="Calibri" w:eastAsia="Calibri" w:hAnsi="Calibri"/>
          <w:i w:val="false"/>
          <w:iCs w:val="false"/>
          <w:color w:val="333333"/>
          <w:sz w:val="21"/>
          <w:szCs w:val="21"/>
        </w:rPr>
        <w:t xml:space="preserve">U.S. National Library of Medicine. (2024). </w:t>
      </w:r>
      <w:r>
        <w:rPr>
          <w:rFonts w:ascii="Calibri" w:cs="Calibri" w:eastAsia="Calibri" w:hAnsi="Calibri"/>
          <w:i/>
          <w:iCs/>
          <w:color w:val="333333"/>
          <w:sz w:val="21"/>
          <w:szCs w:val="21"/>
        </w:rPr>
        <w:t xml:space="preserve">MedlinePlus: Health information from the National Library of Medicine.</w:t>
      </w:r>
      <w:r>
        <w:rPr>
          <w:rFonts w:ascii="Calibri" w:cs="Calibri" w:eastAsia="Calibri" w:hAnsi="Calibri"/>
          <w:i w:val="false"/>
          <w:iCs w:val="false"/>
          <w:color w:val="333333"/>
          <w:sz w:val="21"/>
          <w:szCs w:val="21"/>
        </w:rPr>
        <w:t xml:space="preserve"> National Institutes of Health. https://medlineplus.gov</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3"/>
      </w:pBdr>
      <w:spacing w:before="60"/>
      <w:jc w:val="right"/>
    </w:pPr>
    <w:r>
      <w:rPr>
        <w:rFonts w:ascii="Calibri" w:cs="Calibri" w:eastAsia="Calibri" w:hAnsi="Calibri"/>
        <w:color w:val="666666"/>
        <w:sz w:val="18"/>
        <w:szCs w:val="18"/>
      </w:rPr>
      <w:t xml:space="preserve">APA Format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3"/>
      </w:pBdr>
      <w:spacing w:after="80"/>
    </w:pPr>
    <w:r>
      <w:rPr>
        <w:rFonts w:ascii="Calibri" w:cs="Calibri" w:eastAsia="Calibri" w:hAnsi="Calibri"/>
        <w:color w:val="666666"/>
        <w:sz w:val="18"/>
        <w:szCs w:val="18"/>
      </w:rPr>
      <w:t xml:space="preserve">Clinical Decision Making &amp; Pattern Recognition in Health Care</w:t>
    </w:r>
    <w:r>
      <w:rPr>
        <w:rFonts w:ascii="Calibri" w:cs="Calibri" w:eastAsia="Calibri" w:hAnsi="Calibri"/>
        <w:color w:val="666666"/>
        <w:sz w:val="18"/>
        <w:szCs w:val="18"/>
      </w:rPr>
      <w:t xml:space="preserve">     |     Fnu Ramyashree  |  Cotiviti Intern Assessment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2026-06-29T06:23:36.039Z</dcterms:created>
  <dcterms:modified xsi:type="dcterms:W3CDTF">2026-06-29T06:23:36.039Z</dcterms:modified>
</cp:coreProperties>
</file>

<file path=docProps/custom.xml><?xml version="1.0" encoding="utf-8"?>
<Properties xmlns="http://schemas.openxmlformats.org/officeDocument/2006/custom-properties" xmlns:vt="http://schemas.openxmlformats.org/officeDocument/2006/docPropsVTypes"/>
</file>