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FORM ‘A’</w:t>
        <w:br/>
        <w:t>MEDIATION APPLICATION FORM</w:t>
        <w:br/>
        <w:t>[REFER RULE 3(1)]</w:t>
      </w:r>
    </w:p>
    <w:p>
      <w:pPr>
        <w:jc w:val="center"/>
      </w:pPr>
      <w:r>
        <w:t>Mumbai District Legal Services Authority</w:t>
        <w:br/>
        <w:t>City Civil Court, Mumbai</w:t>
      </w:r>
    </w:p>
    <w:p>
      <w:r>
        <w:br/>
        <w:t>DETAILS OF PARTIES: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1. Name of Applicant</w:t>
            </w:r>
          </w:p>
        </w:tc>
        <w:tc>
          <w:tcPr>
            <w:tcW w:type="dxa" w:w="4320"/>
          </w:tcPr>
          <w:p>
            <w:r>
              <w:t>{{client_name}}</w:t>
            </w:r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>
              <w:t>{{branch_address}}</w:t>
            </w:r>
          </w:p>
        </w:tc>
      </w:tr>
      <w:tr>
        <w:tc>
          <w:tcPr>
            <w:tcW w:type="dxa" w:w="4320"/>
          </w:tcPr>
          <w:p>
            <w:r>
              <w:t>Correspondence Address</w:t>
            </w:r>
          </w:p>
        </w:tc>
        <w:tc>
          <w:tcPr>
            <w:tcW w:type="dxa" w:w="4320"/>
          </w:tcPr>
          <w:p>
            <w:r>
              <w:t>{{branch_address}}</w:t>
            </w:r>
          </w:p>
        </w:tc>
      </w:tr>
      <w:tr>
        <w:tc>
          <w:tcPr>
            <w:tcW w:type="dxa" w:w="4320"/>
          </w:tcPr>
          <w:p>
            <w:r>
              <w:t>Telephone / Mobile</w:t>
            </w:r>
          </w:p>
        </w:tc>
        <w:tc>
          <w:tcPr>
            <w:tcW w:type="dxa" w:w="4320"/>
          </w:tcPr>
          <w:p>
            <w:r>
              <w:t>{{mobile}}</w:t>
            </w:r>
          </w:p>
        </w:tc>
      </w:tr>
      <w:tr>
        <w:tc>
          <w:tcPr>
            <w:tcW w:type="dxa" w:w="4320"/>
          </w:tcPr>
          <w:p>
            <w:r>
              <w:t>Email ID</w:t>
            </w:r>
          </w:p>
        </w:tc>
        <w:tc>
          <w:tcPr>
            <w:tcW w:type="dxa" w:w="4320"/>
          </w:tcPr>
          <w:p>
            <w:r>
              <w:t>info@kslegal.co.in</w:t>
            </w:r>
          </w:p>
        </w:tc>
      </w:tr>
      <w:tr>
        <w:tc>
          <w:tcPr>
            <w:tcW w:type="dxa" w:w="4320"/>
          </w:tcPr>
          <w:p>
            <w:r>
              <w:t>2. Name of Opposite Party</w:t>
            </w:r>
          </w:p>
        </w:tc>
        <w:tc>
          <w:tcPr>
            <w:tcW w:type="dxa" w:w="4320"/>
          </w:tcPr>
          <w:p>
            <w:r>
              <w:t>{{customer_name}}</w:t>
            </w:r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t>Correspondence Address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>
      <w:r>
        <w:br/>
        <w:t>DETAILS OF DISPUTE:</w:t>
      </w:r>
    </w:p>
    <w:p>
      <w:r>
        <w:rPr>
          <w:b/>
        </w:rPr>
        <w:t>THE COMMERCIAL COURTS (PRE-INSTITUTION MEDIATION AND SETTLEMENT) RULES, 2018</w:t>
      </w:r>
    </w:p>
    <w:p>
      <w:r>
        <w:t>Nature of disputes as per Section 2(1)(c) of the Commercial Courts Act, 2015: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