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AI-Solutions — System Flowcharts</w:t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Two separate flowcharts: the customer-facing website flow and the admin panel flow.</w:t>
      </w:r>
    </w:p>
    <w:p>
      <w:pPr>
        <w:spacing w:after="40" w:before="80"/>
      </w:pPr>
      <w:r>
        <w:rPr>
          <w:b/>
          <w:bCs/>
          <w:sz w:val="26"/>
          <w:szCs w:val="26"/>
        </w:rPr>
        <w:t xml:space="preserve">Flowchart 1 — Customer / Public Website Flow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Visitor journey: browse pages, choose an action (inquiry, demo, event, chatbot, feedback), validate, store in MySQL, confirm.</w:t>
      </w:r>
    </w:p>
    <w:p>
      <w:pPr>
        <w:jc w:val="center"/>
      </w:pPr>
      <w:r>
        <w:drawing>
          <wp:inline distT="0" distB="0" distL="0" distR="0">
            <wp:extent cx="8382000" cy="5086350"/>
            <wp:effectExtent t="0" r="0" b="0" l="0"/>
            <wp:docPr id="1" name="flowchart0" descr="Visitor journey: browse pages, choose an action (inquiry, demo, event, chatbot, feedback), validate, store in MySQL, confirm." title="Flowchart 1 — Customer / Public Websit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40" w:before="80"/>
      </w:pPr>
      <w:r>
        <w:rPr>
          <w:b/>
          <w:bCs/>
          <w:sz w:val="26"/>
          <w:szCs w:val="26"/>
        </w:rPr>
        <w:t xml:space="preserve">Flowchart 2 — Admin Dashboard / Admin Panel Flow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Secure login with lockout, dashboard analytics, task selection, record CRUD with role checks, and logout.</w:t>
      </w:r>
    </w:p>
    <w:p>
      <w:pPr>
        <w:jc w:val="center"/>
      </w:pPr>
      <w:r>
        <w:drawing>
          <wp:inline distT="0" distB="0" distL="0" distR="0">
            <wp:extent cx="8382000" cy="5010150"/>
            <wp:effectExtent t="0" r="0" b="0" l="0"/>
            <wp:docPr id="1" name="flowchart1" descr="Secure login with lockout, dashboard analytics, task selection, record CRUD with role checks, and logout." title="Flowchart 2 — Admin Dashboard / Admin Panel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ce8104ae2eab10b1a72c77cee3d792a60f50f1.png"/><Relationship Id="rId8" Type="http://schemas.openxmlformats.org/officeDocument/2006/relationships/image" Target="media/afdbc33eb820676eee884abc76cfd44105ecd1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2026-06-22T13:41:41.565Z</dcterms:created>
  <dcterms:modified xsi:type="dcterms:W3CDTF">2026-06-22T13:41:41.576Z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