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1A1A1A"/>
          <w:sz w:val="36"/>
        </w:rPr>
        <w:t>Which Expense Change Needs The Clearest Explanation</w:t>
      </w:r>
    </w:p>
    <w:p>
      <w:pPr>
        <w:spacing w:after="160"/>
      </w:pPr>
      <w:r>
        <w:rPr>
          <w:rFonts w:ascii="Calibri" w:hAnsi="Calibri"/>
          <w:i/>
          <w:color w:val="5C5C5C"/>
          <w:sz w:val="19"/>
        </w:rPr>
        <w:t>Spirit of Math Schools Markham East | Report date 2026-04-11 | Data through April 2, 2026</w:t>
      </w:r>
    </w:p>
    <w:p>
      <w:pPr>
        <w:shd w:val="clear" w:color="auto" w:fill="F4F4F4"/>
        <w:spacing w:after="160"/>
        <w:ind w:left="115"/>
      </w:pPr>
      <w:r>
        <w:rPr>
          <w:rFonts w:ascii="Calibri" w:hAnsi="Calibri"/>
          <w:b/>
          <w:color w:val="2E2E2E"/>
          <w:sz w:val="22"/>
        </w:rPr>
        <w:t xml:space="preserve">Main Question  </w:t>
      </w:r>
      <w:r>
        <w:rPr>
          <w:rFonts w:ascii="Calibri" w:hAnsi="Calibri"/>
          <w:color w:val="2E2E2E"/>
          <w:sz w:val="22"/>
        </w:rPr>
        <w:t>Which expense item is the main one you need to be ready to explain simply?</w:t>
      </w:r>
    </w:p>
    <w:p>
      <w:pPr>
        <w:shd w:val="clear" w:color="auto" w:fill="E8F0FE"/>
        <w:spacing w:after="160"/>
        <w:ind w:left="115"/>
      </w:pPr>
      <w:r>
        <w:rPr>
          <w:rFonts w:ascii="Calibri" w:hAnsi="Calibri"/>
          <w:b/>
          <w:color w:val="1F3896"/>
          <w:sz w:val="22"/>
        </w:rPr>
        <w:t xml:space="preserve">Direct Answer  </w:t>
      </w:r>
      <w:r>
        <w:rPr>
          <w:rFonts w:ascii="Calibri" w:hAnsi="Calibri"/>
          <w:color w:val="1F3896"/>
          <w:sz w:val="22"/>
        </w:rPr>
        <w:t>Student Handouts is the main item. It is up by about $72,349, or 108%, versus last year.</w:t>
      </w:r>
    </w:p>
    <w:p>
      <w:pPr>
        <w:shd w:val="clear" w:color="auto" w:fill="EAF4EA"/>
        <w:spacing w:after="160"/>
        <w:ind w:left="115"/>
      </w:pPr>
      <w:r>
        <w:rPr>
          <w:rFonts w:ascii="Calibri" w:hAnsi="Calibri"/>
          <w:b/>
          <w:color w:val="1A5C1A"/>
          <w:sz w:val="22"/>
        </w:rPr>
        <w:t xml:space="preserve">Best Estimate  </w:t>
      </w:r>
      <w:r>
        <w:rPr>
          <w:rFonts w:ascii="Calibri" w:hAnsi="Calibri"/>
          <w:color w:val="1A5C1A"/>
          <w:sz w:val="22"/>
        </w:rPr>
        <w:t>If you prepare support for one item first, start with Student Handouts. Insurance is the next item to explain.</w:t>
      </w:r>
    </w:p>
    <w:p>
      <w:r>
        <w:rPr>
          <w:rFonts w:ascii="Calibri" w:hAnsi="Calibri"/>
          <w:b/>
          <w:sz w:val="25"/>
        </w:rPr>
        <w:t>Key Numbers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D9EAD3"/>
          </w:tcPr>
          <w:p>
            <w:pPr>
              <w:jc w:val="left"/>
            </w:pPr>
            <w:r>
              <w:rPr>
                <w:rFonts w:ascii="Calibri" w:hAnsi="Calibri"/>
                <w:b/>
                <w:sz w:val="21"/>
              </w:rPr>
              <w:t>Item</w:t>
            </w:r>
          </w:p>
        </w:tc>
        <w:tc>
          <w:tcPr>
            <w:tcW w:type="dxa" w:w="4986"/>
            <w:shd w:val="clear" w:color="auto" w:fill="D9EAD3"/>
          </w:tcPr>
          <w:p>
            <w:pPr>
              <w:jc w:val="left"/>
            </w:pPr>
            <w:r>
              <w:rPr>
                <w:rFonts w:ascii="Calibri" w:hAnsi="Calibri"/>
                <w:b/>
                <w:sz w:val="21"/>
              </w:rPr>
              <w:t>Value</w:t>
            </w:r>
          </w:p>
        </w:tc>
      </w:tr>
      <w:tr>
        <w:tc>
          <w:tcPr>
            <w:tcW w:type="dxa" w:w="4986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1"/>
              </w:rPr>
              <w:t>Student Handouts this year</w:t>
            </w:r>
          </w:p>
        </w:tc>
        <w:tc>
          <w:tcPr>
            <w:tcW w:type="dxa" w:w="4986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1"/>
              </w:rPr>
              <w:t>$139,252.59</w:t>
            </w:r>
          </w:p>
        </w:tc>
      </w:tr>
      <w:tr>
        <w:tc>
          <w:tcPr>
            <w:tcW w:type="dxa" w:w="4986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1"/>
              </w:rPr>
              <w:t>Student Handouts last year</w:t>
            </w:r>
          </w:p>
        </w:tc>
        <w:tc>
          <w:tcPr>
            <w:tcW w:type="dxa" w:w="4986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1"/>
              </w:rPr>
              <w:t>$66,903.85</w:t>
            </w:r>
          </w:p>
        </w:tc>
      </w:tr>
      <w:tr>
        <w:tc>
          <w:tcPr>
            <w:tcW w:type="dxa" w:w="4986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1"/>
              </w:rPr>
              <w:t>Increase</w:t>
            </w:r>
          </w:p>
        </w:tc>
        <w:tc>
          <w:tcPr>
            <w:tcW w:type="dxa" w:w="4986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1"/>
              </w:rPr>
              <w:t>$72,348.74</w:t>
            </w:r>
          </w:p>
        </w:tc>
      </w:tr>
      <w:tr>
        <w:tc>
          <w:tcPr>
            <w:tcW w:type="dxa" w:w="4986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1"/>
              </w:rPr>
              <w:t>Insurance increase</w:t>
            </w:r>
          </w:p>
        </w:tc>
        <w:tc>
          <w:tcPr>
            <w:tcW w:type="dxa" w:w="4986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1"/>
              </w:rPr>
              <w:t>+71.38%</w:t>
            </w:r>
          </w:p>
        </w:tc>
      </w:tr>
    </w:tbl>
    <w:p>
      <w:pPr>
        <w:shd w:val="clear" w:color="auto" w:fill="FDECEA"/>
        <w:spacing w:after="160"/>
        <w:ind w:left="115"/>
      </w:pPr>
      <w:r>
        <w:rPr>
          <w:rFonts w:ascii="Calibri" w:hAnsi="Calibri"/>
          <w:b/>
          <w:color w:val="8B0000"/>
          <w:sz w:val="22"/>
        </w:rPr>
        <w:t xml:space="preserve">Keep In Mind  </w:t>
      </w:r>
      <w:r>
        <w:rPr>
          <w:rFonts w:ascii="Calibri" w:hAnsi="Calibri"/>
          <w:color w:val="8B0000"/>
          <w:sz w:val="22"/>
        </w:rPr>
        <w:t>Student Handouts rose by 108.14% | Insurance rose by 71.38% | Some zeroed accounts may be reclassifications rather than true drops</w:t>
      </w:r>
    </w:p>
    <w:p>
      <w:pPr>
        <w:spacing w:before="200" w:after="80"/>
      </w:pPr>
      <w:r>
        <w:rPr>
          <w:rFonts w:ascii="Calibri" w:hAnsi="Calibri"/>
          <w:b/>
          <w:color w:val="1F3896"/>
          <w:sz w:val="25"/>
        </w:rPr>
        <w:t>Why I Am Saying This</w:t>
      </w:r>
    </w:p>
    <w:p>
      <w:pPr>
        <w:pStyle w:val="ListBullet"/>
      </w:pPr>
      <w:r>
        <w:rPr>
          <w:rFonts w:ascii="Calibri" w:hAnsi="Calibri"/>
          <w:sz w:val="21"/>
        </w:rPr>
        <w:t>Student Handouts is the biggest unusual expense jump and the easiest one for someone to notice.</w:t>
      </w:r>
    </w:p>
    <w:p>
      <w:pPr>
        <w:pStyle w:val="ListBullet"/>
      </w:pPr>
      <w:r>
        <w:rPr>
          <w:rFonts w:ascii="Calibri" w:hAnsi="Calibri"/>
          <w:sz w:val="21"/>
        </w:rPr>
        <w:t>Insurance is also up, but it is a smaller issue than Student Handouts.</w:t>
      </w:r>
    </w:p>
    <w:p>
      <w:pPr>
        <w:pStyle w:val="ListBullet"/>
      </w:pPr>
      <w:r>
        <w:rPr>
          <w:rFonts w:ascii="Calibri" w:hAnsi="Calibri"/>
          <w:sz w:val="21"/>
        </w:rPr>
        <w:t>Some other changes may simply be account reclassification, which is easier to explain if documented now.</w:t>
      </w:r>
    </w:p>
    <w:p>
      <w:pPr>
        <w:spacing w:before="200" w:after="80"/>
      </w:pPr>
      <w:r>
        <w:rPr>
          <w:rFonts w:ascii="Calibri" w:hAnsi="Calibri"/>
          <w:b/>
          <w:color w:val="1F3896"/>
          <w:sz w:val="25"/>
        </w:rPr>
        <w:t>What To Do Next</w:t>
      </w:r>
    </w:p>
    <w:p>
      <w:pPr>
        <w:pStyle w:val="ListBullet"/>
      </w:pPr>
      <w:r>
        <w:rPr>
          <w:rFonts w:ascii="Calibri" w:hAnsi="Calibri"/>
          <w:sz w:val="21"/>
        </w:rPr>
        <w:t>Gather invoices and a simple business explanation for Student Handouts first.</w:t>
      </w:r>
    </w:p>
    <w:p>
      <w:pPr>
        <w:pStyle w:val="ListBullet"/>
      </w:pPr>
      <w:r>
        <w:rPr>
          <w:rFonts w:ascii="Calibri" w:hAnsi="Calibri"/>
          <w:sz w:val="21"/>
        </w:rPr>
        <w:t>Keep backup for the insurance increase as well.</w:t>
      </w:r>
    </w:p>
    <w:p>
      <w:pPr>
        <w:pStyle w:val="ListBullet"/>
      </w:pPr>
      <w:r>
        <w:rPr>
          <w:rFonts w:ascii="Calibri" w:hAnsi="Calibri"/>
          <w:sz w:val="21"/>
        </w:rPr>
        <w:t>Ask the bookkeeper whether any zero accounts were moved into different account codes this year.</w:t>
      </w:r>
    </w:p>
    <w:p>
      <w:r>
        <w:rPr>
          <w:rFonts w:ascii="Calibri" w:hAnsi="Calibri"/>
          <w:b/>
          <w:color w:val="1F3896"/>
          <w:sz w:val="25"/>
        </w:rPr>
        <w:t>Items To Confirm</w:t>
      </w:r>
    </w:p>
    <w:p>
      <w:pPr>
        <w:pStyle w:val="ListBullet"/>
      </w:pPr>
      <w:r>
        <w:rPr>
          <w:rFonts w:ascii="Calibri" w:hAnsi="Calibri"/>
          <w:sz w:val="21"/>
        </w:rPr>
        <w:t>Why did Student Handouts rise so much this year?</w:t>
      </w:r>
    </w:p>
    <w:p>
      <w:pPr>
        <w:pStyle w:val="ListBullet"/>
      </w:pPr>
      <w:r>
        <w:rPr>
          <w:rFonts w:ascii="Calibri" w:hAnsi="Calibri"/>
          <w:sz w:val="21"/>
        </w:rPr>
        <w:t>Were payroll or materials accounts reclassified into other accounts?</w:t>
      </w:r>
    </w:p>
    <w:p>
      <w:pPr>
        <w:shd w:val="clear" w:color="auto" w:fill="EAF4EA"/>
        <w:spacing w:after="160"/>
        <w:ind w:left="115"/>
      </w:pPr>
      <w:r>
        <w:rPr>
          <w:rFonts w:ascii="Calibri" w:hAnsi="Calibri"/>
          <w:b/>
          <w:color w:val="1A5C1A"/>
          <w:sz w:val="22"/>
        </w:rPr>
        <w:t xml:space="preserve">Bottom Line  </w:t>
      </w:r>
      <w:r>
        <w:rPr>
          <w:rFonts w:ascii="Calibri" w:hAnsi="Calibri"/>
          <w:color w:val="1A5C1A"/>
          <w:sz w:val="22"/>
        </w:rPr>
        <w:t>Best working answer: Student Handouts is the first variance you should be ready to explain, with Insurance as the second.</w:t>
      </w:r>
    </w:p>
    <w:p>
      <w:r>
        <w:rPr>
          <w:rFonts w:ascii="Calibri" w:hAnsi="Calibri"/>
          <w:i/>
          <w:color w:val="6A6A6A"/>
          <w:sz w:val="18"/>
        </w:rPr>
        <w:t>Prepared by Codex from the current project files. Python handled extraction and formatting.</w:t>
      </w:r>
    </w:p>
    <w:sectPr w:rsidR="00FC693F" w:rsidRPr="0006063C" w:rsidSect="00034616"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