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3896"/>
          <w:sz w:val="36"/>
        </w:rPr>
        <w:t>Spending Deviation Analysis — CRA Risk Review</w:t>
      </w:r>
    </w:p>
    <w:p>
      <w:pPr>
        <w:spacing w:after="40"/>
      </w:pPr>
      <w:r>
        <w:rPr>
          <w:rFonts w:ascii="Calibri" w:hAnsi="Calibri"/>
          <w:i/>
          <w:sz w:val="24"/>
        </w:rPr>
        <w:t>Spirit of Math Schools Markham East  —  2039321 Ontario Inc.</w:t>
      </w:r>
    </w:p>
    <w:p>
      <w:pPr>
        <w:spacing w:after="40"/>
      </w:pPr>
      <w:r>
        <w:rPr>
          <w:rFonts w:ascii="Calibri" w:hAnsi="Calibri"/>
          <w:i/>
          <w:color w:val="606060"/>
          <w:sz w:val="20"/>
        </w:rPr>
        <w:t>Report Date: March 11, 2026   |   Fiscal Year: August 1, 2025 – July 31, 2026</w:t>
      </w:r>
    </w:p>
    <w:p>
      <w:pPr>
        <w:spacing w:after="120"/>
      </w:pPr>
      <w:r>
        <w:rPr>
          <w:rFonts w:ascii="Calibri" w:hAnsi="Calibri"/>
          <w:i/>
          <w:color w:val="606060"/>
          <w:sz w:val="19"/>
        </w:rPr>
        <w:t>YTD data through: March 11, 2026   |   Benchmarks: FY2024–25 same-period YTD + 3-year aggregate (Aug 2022–Jul 2025)   |   Note: PY-1 column in source file is a 15.5-month non-comparable period — not used for YTD comparison</w:t>
      </w:r>
    </w:p>
    <w:p>
      <w:pPr>
        <w:pBdr>
          <w:bottom w:val="single" w:sz="6" w:space="1" w:color="999999"/>
        </w:pBdr>
        <w:spacing w:after="120"/>
      </w:pPr>
    </w:p>
    <w:p>
      <w:pPr>
        <w:spacing w:before="280" w:after="80"/>
      </w:pPr>
      <w:r>
        <w:rPr>
          <w:rFonts w:ascii="Calibri" w:hAnsi="Calibri"/>
          <w:b/>
          <w:color w:val="1F3896"/>
          <w:sz w:val="26"/>
        </w:rPr>
        <w:t>Quick Summary — What This Report Tells You</w:t>
      </w:r>
    </w:p>
    <w:p>
      <w:pPr>
        <w:shd w:val="clear" w:color="auto" w:fill="E8F0FE"/>
        <w:spacing w:after="160"/>
        <w:ind w:left="144"/>
      </w:pPr>
      <w:r>
        <w:rPr>
          <w:rFonts w:ascii="Calibri" w:hAnsi="Calibri"/>
          <w:color w:val="1F3896"/>
          <w:sz w:val="22"/>
        </w:rPr>
        <w:t>WHAT THIS REPORT COVERS: Which of your spending categories are outside the normal range compared to prior years — and which ones the CRA is most likely to question in an audit.</w:t>
        <w:br/>
        <w:br/>
        <w:t>●  HIGH RISK — Student Handouts (account 5780): Up 101.7% vs. last year. On track for ~$221,000 full-year vs. 3-year average of $100,469. Needs documentation.</w:t>
        <w:br/>
        <w:t>●  HIGH RISK — Insurance (account 6600): Up 58.9% vs. last year. Already 6x the 3-year annual average with 4.7 months still to go. Needs policy documents.</w:t>
        <w:br/>
        <w:t>●  WATCH — FTC charges (6201.1): $0 this year vs. $23,182 last year. Possibly unrecorded, not gone — check with Spirit of Math.</w:t>
        <w:br/>
        <w:t>●  NEW — Marketing Wages (62010): $24,000 this year vs. $0 last year. New category — needs documentation confirming it qualifies as marketing spend.</w:t>
        <w:br/>
        <w:t>●  OK — IT costs, payroll as % of revenue, rent: all within normal range.</w:t>
        <w:br/>
        <w:t>●  GOOD — Merchant service fees and repairs are both significantly lower this year.</w:t>
      </w:r>
    </w:p>
    <w:p>
      <w:pPr>
        <w:shd w:val="clear" w:color="auto" w:fill="FDECEA"/>
        <w:spacing w:after="160"/>
        <w:ind w:left="144"/>
      </w:pPr>
      <w:r>
        <w:rPr>
          <w:rFonts w:ascii="Calibri" w:hAnsi="Calibri"/>
          <w:color w:val="8B0000"/>
          <w:sz w:val="22"/>
        </w:rPr>
        <w:t>URGENT ACTIONS:</w:t>
        <w:br/>
        <w:t>1.  Student Handouts: Pull all account 5780 entries and confirm every one has a supplier invoice. If Spirit of Math raised materials prices or you ordered extra stock for ~950 students, write it down now. On track for ~$221,000 full-year — more than double the 3-year average.</w:t>
        <w:br/>
        <w:t>2.  Insurance: Locate the policy documents explaining the $18,879 spent so far. Keep the premium invoice and certificate on file. Ask Tang &amp; Partners about the prepaid insurance rule.</w:t>
        <w:br/>
        <w:t>3.  Marketing Wages: Document that the $24,000 in account 62010 is a qualifying marketing expense under your franchise agreement (e.g., a staff member spending dedicated time on marketing activities).</w:t>
      </w:r>
    </w:p>
    <w:p>
      <w:pPr>
        <w:spacing w:after="80"/>
      </w:pPr>
      <w:r>
        <w:rPr>
          <w:rFonts w:ascii="Calibri" w:hAnsi="Calibri"/>
          <w:i/>
          <w:color w:val="606060"/>
          <w:sz w:val="19"/>
        </w:rPr>
        <w:t>See Section 7 (Action Checklist) for the full list of steps. See Section 8 (Bottom Line) for key takeaways in plain English. Sections 2–6 contain the detailed analysis by category.</w:t>
      </w:r>
    </w:p>
    <w:p>
      <w:pPr>
        <w:spacing w:before="280" w:after="80"/>
      </w:pPr>
      <w:r>
        <w:rPr>
          <w:rFonts w:ascii="Calibri" w:hAnsi="Calibri"/>
          <w:b/>
          <w:color w:val="1F3896"/>
          <w:sz w:val="26"/>
        </w:rPr>
        <w:t>1.  What This Report Is For</w:t>
      </w:r>
    </w:p>
    <w:p>
      <w:pPr>
        <w:spacing w:after="120" w:before="0"/>
      </w:pPr>
      <w:r>
        <w:rPr>
          <w:rFonts w:ascii="Calibri" w:hAnsi="Calibri"/>
          <w:b w:val="0"/>
          <w:sz w:val="22"/>
        </w:rPr>
        <w:t>The Canada Revenue Agency (CRA) reviews business tax returns and looks for expenses that stick out compared to prior years. If one category of spending jumps dramatically without a clear business reason, it can trigger an audit or a request for receipts. This report compares your current-year spending (August 1 – March 11, 2026) to the same period last year and flags anything that deviates significantly. For each flagged item, we tell you the risk level and what documentation you should keep on hand.</w:t>
      </w:r>
    </w:p>
    <w:p>
      <w:pPr>
        <w:spacing w:after="120" w:before="0"/>
      </w:pPr>
      <w:r>
        <w:rPr>
          <w:rFonts w:ascii="Calibri" w:hAnsi="Calibri"/>
          <w:b w:val="0"/>
          <w:sz w:val="22"/>
        </w:rPr>
        <w:t>We also use the three-year aggregate P&amp;L (August 2022 – July 2025) as a longer-term benchmark. Think of it as a track record: if a category looks normal over three full years but this year is wildly different, that is exactly what the CRA notices.</w:t>
      </w:r>
    </w:p>
    <w:p>
      <w:pPr>
        <w:shd w:val="clear" w:color="auto" w:fill="FFF3CD"/>
        <w:spacing w:after="160"/>
        <w:ind w:left="144"/>
      </w:pPr>
      <w:r>
        <w:rPr>
          <w:rFonts w:ascii="Calibri" w:hAnsi="Calibri"/>
          <w:color w:val="7D5A00"/>
          <w:sz w:val="22"/>
        </w:rPr>
        <w:t>IMPORTANT NOTE ON THE PY-1 COLUMN: The QuickBooks export file contains three columns. The third column (labelled “Aug. 1 2023 – Nov. 14 2024”) covers 15.5 months — not the same period as the current year. Comparing percentages against a 15.5-month column would be misleading, so this report does NOT use PY-1 YTD figures for comparison. Instead, we use the 3-year annual averages (full fiscal years) as the longer-term benchmark. The summary table in Section 6 marks the PY-1 column as “(non-comparable period)”.</w:t>
      </w:r>
    </w:p>
    <w:p>
      <w:pPr>
        <w:spacing w:before="200" w:after="80"/>
      </w:pPr>
      <w:r>
        <w:rPr>
          <w:rFonts w:ascii="Calibri" w:hAnsi="Calibri"/>
          <w:b/>
          <w:color w:val="2E2E2E"/>
          <w:sz w:val="23"/>
        </w:rPr>
        <w:t>Revenue Context (for proportionality)</w:t>
      </w:r>
    </w:p>
    <w:p>
      <w:pPr>
        <w:spacing w:after="120" w:before="0"/>
      </w:pPr>
      <w:r>
        <w:rPr>
          <w:rFonts w:ascii="Calibri" w:hAnsi="Calibri"/>
          <w:b w:val="0"/>
          <w:sz w:val="22"/>
        </w:rPr>
        <w:t>Before comparing expenses, it helps to see how revenue is growing. We express every expense as a percentage of gross tuition so that a school with more students spending more in absolute dollars is still proportionate.</w:t>
      </w:r>
    </w:p>
    <w:tbl>
      <w:tblPr>
        <w:tblStyle w:val="TableGrid"/>
        <w:tblW w:type="auto" w:w="0"/>
        <w:jc w:val="left"/>
        <w:tblLook w:firstColumn="1" w:firstRow="1" w:lastColumn="0" w:lastRow="0" w:noHBand="0" w:noVBand="1" w:val="04A0"/>
      </w:tblPr>
      <w:tblGrid>
        <w:gridCol w:w="3600"/>
        <w:gridCol w:w="1872"/>
        <w:gridCol w:w="1872"/>
        <w:gridCol w:w="1872"/>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FY2025-26 YTD</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PY YTD</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Change</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Gross tuition (acct 4100)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$2,180,365</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$1,944,374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+12.1%</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YTD period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Aug 1–Mar 11, 2026</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Aug 1–Mar 11, 2025</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Note on PY-1 column</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 (15.5-month non-comparable period)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w:t>
            </w:r>
          </w:p>
        </w:tc>
      </w:tr>
    </w:tbl>
    <w:p>
      <w:pPr>
        <w:spacing w:after="80"/>
      </w:pPr>
    </w:p>
    <w:p>
      <w:pPr>
        <w:spacing w:after="80"/>
      </w:pPr>
      <w:r>
        <w:rPr>
          <w:rFonts w:ascii="Calibri" w:hAnsi="Calibri"/>
          <w:i/>
          <w:color w:val="606060"/>
          <w:sz w:val="19"/>
        </w:rPr>
        <w:t>Revenue grew 12.1% year-over-year. All expense percentages in this report are expressed as a share of gross tuition so that growth is factored in. A category is only a concern if its share of tuition rises significantly, not just its raw dollar amount.</w:t>
      </w:r>
    </w:p>
    <w:p>
      <w:pPr>
        <w:spacing w:before="280" w:after="80"/>
      </w:pPr>
      <w:r>
        <w:rPr>
          <w:rFonts w:ascii="Calibri" w:hAnsi="Calibri"/>
          <w:b/>
          <w:color w:val="1F3896"/>
          <w:sz w:val="26"/>
        </w:rPr>
        <w:t>2.  High-Risk Deviations — Prepare Documentation Now</w:t>
      </w:r>
    </w:p>
    <w:p>
      <w:pPr>
        <w:spacing w:after="120" w:before="0"/>
      </w:pPr>
      <w:r>
        <w:rPr>
          <w:rFonts w:ascii="Calibri" w:hAnsi="Calibri"/>
          <w:b w:val="0"/>
          <w:sz w:val="22"/>
        </w:rPr>
        <w:t>These two categories have increased so much that they are very likely to be questioned by the CRA. This does not mean anything illegal has happened — it just means you need to have clear paperwork ready if the CRA asks.</w:t>
      </w:r>
    </w:p>
    <w:p>
      <w:pPr>
        <w:spacing w:before="200" w:after="80"/>
      </w:pPr>
      <w:r>
        <w:rPr>
          <w:rFonts w:ascii="Calibri" w:hAnsi="Calibri"/>
          <w:b/>
          <w:color w:val="2E2E2E"/>
          <w:sz w:val="23"/>
        </w:rPr>
        <w:t>A.  Student Handouts (Account 5780) — Up 101.7%  [CRITICAL]</w:t>
      </w:r>
    </w:p>
    <w:p>
      <w:pPr>
        <w:spacing w:after="120" w:before="0"/>
      </w:pPr>
      <w:r>
        <w:rPr>
          <w:rFonts w:ascii="Calibri" w:hAnsi="Calibri"/>
          <w:b w:val="0"/>
          <w:sz w:val="22"/>
        </w:rPr>
        <w:t>Student Handouts covers the workbooks, printouts, and learning materials you distribute to students each year. This year the cost has more than doubled compared to last year, even though your student count and revenue grew by only about 12%. That mismatch is exactly what the CRA looks for.</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As % of Tuition / 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 (Aug 1–Mar 11,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$134,940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6.19%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Prior year same period (Aug 1–Mar 11, 2025)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$66,904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3.44%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3-year full-year annual average (FY2022-23 to FY2024-25)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$100,469/yr</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approx. 3.5%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Year-over-year dollar increase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+$68,036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Year-over-year percentage increase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+101.7%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vs. revenue growth of +12.1%</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Projected full-year at current pace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~$221,000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vs. 3-yr avg of $100,469</w:t>
            </w:r>
          </w:p>
        </w:tc>
      </w:tr>
    </w:tbl>
    <w:p>
      <w:pPr>
        <w:spacing w:after="80"/>
      </w:pPr>
    </w:p>
    <w:p>
      <w:pPr>
        <w:shd w:val="clear" w:color="auto" w:fill="FDECEA"/>
        <w:spacing w:after="160"/>
        <w:ind w:left="144"/>
      </w:pPr>
      <w:r>
        <w:rPr>
          <w:rFonts w:ascii="Calibri" w:hAnsi="Calibri"/>
          <w:color w:val="8B0000"/>
          <w:sz w:val="22"/>
        </w:rPr>
        <w:t>RISK: Handouts are on track to reach ~$221,000 this year — more than double the 3-year annual average of $100,469. This is 2.2 times the historical average. The CRA may request itemized proof of every purchase. Keep all supplier invoices and delivery records. If there is a business reason for the jump (e.g., new curriculum materials, price increases from Spirit of Math, or a large one-time order for ~950 students), write it down now in a brief memo and keep it with your tax records.</w:t>
      </w:r>
    </w:p>
    <w:p>
      <w:pPr>
        <w:spacing w:after="80"/>
      </w:pPr>
      <w:r>
        <w:rPr>
          <w:rFonts w:ascii="Calibri" w:hAnsi="Calibri"/>
          <w:i/>
          <w:color w:val="606060"/>
          <w:sz w:val="19"/>
        </w:rPr>
        <w:t>Action: Ask your bookkeeper to pull all individual entries in account 5780 this year. Make sure each one has a supplier invoice. If Spirit of Math raised their materials pricing or you ordered extra stock for ~950 students, document that in writing.</w:t>
      </w:r>
    </w:p>
    <w:p>
      <w:pPr>
        <w:spacing w:before="200" w:after="80"/>
      </w:pPr>
      <w:r>
        <w:rPr>
          <w:rFonts w:ascii="Calibri" w:hAnsi="Calibri"/>
          <w:b/>
          <w:color w:val="2E2E2E"/>
          <w:sz w:val="23"/>
        </w:rPr>
        <w:t>B.  Insurance (Account 6600) — Up 58.9% vs. Last Year; 6x the 3-Year Annual Average  [HIGH RISK]</w:t>
      </w:r>
    </w:p>
    <w:p>
      <w:pPr>
        <w:spacing w:after="120" w:before="0"/>
      </w:pPr>
      <w:r>
        <w:rPr>
          <w:rFonts w:ascii="Calibri" w:hAnsi="Calibri"/>
          <w:b w:val="0"/>
          <w:sz w:val="22"/>
        </w:rPr>
        <w:t>Insurance is one of those expenses that should stay relatively stable from year to year unless you add new coverage. Your insurance cost has not just increased year-over-year — it has already exceeded the full-year 3-year average with 4.7 months still remaining in the fiscal year. The CRA will notice this if audited.</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 (Aug 1–Mar 11,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$18,879</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0.87%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Prior year same period (Aug 1–Mar 11, 2025)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$11,882</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0.61%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3-year full-year annual average (FY2022-23 to FY2024-25)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$3,073/yr</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from $9,219 over 3 years</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Year-over-year dollar increase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+$6,997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+58.9%</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Projected full-year at current pace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~$30,900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vs. 3-yr avg of $3,073</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 vs. 3-yr annual average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6.1x higher</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Already 6x the annual average</w:t>
            </w:r>
          </w:p>
        </w:tc>
      </w:tr>
    </w:tbl>
    <w:p>
      <w:pPr>
        <w:spacing w:after="80"/>
      </w:pPr>
    </w:p>
    <w:p>
      <w:pPr>
        <w:shd w:val="clear" w:color="auto" w:fill="FDECEA"/>
        <w:spacing w:after="160"/>
        <w:ind w:left="144"/>
      </w:pPr>
      <w:r>
        <w:rPr>
          <w:rFonts w:ascii="Calibri" w:hAnsi="Calibri"/>
          <w:color w:val="8B0000"/>
          <w:sz w:val="22"/>
        </w:rPr>
        <w:t>RISK: Insurance is on track for ~$30,900 this year — approximately 10 times the 3-year annual average. This will stand out sharply on the T2. You need a clear explanation: What changed? Did you add a new policy? Did your broker change? Are you now paying premiums that were previously missed or paid through another account? Keep all insurance policy documents and the broker’s invoice showing the premium amount and coverage period.</w:t>
      </w:r>
    </w:p>
    <w:p>
      <w:pPr>
        <w:spacing w:after="80"/>
      </w:pPr>
      <w:r>
        <w:rPr>
          <w:rFonts w:ascii="Calibri" w:hAnsi="Calibri"/>
          <w:i/>
          <w:color w:val="606060"/>
          <w:sz w:val="19"/>
        </w:rPr>
        <w:t>Action: Locate the insurance policy (or policies) that explain this amount. Keep the premium invoice and the certificate of insurance in your records. Ask Tang &amp; Partners whether this amount is fully deductible or whether any portion is for a period beyond July 31, 2026 (prepaid insurance must be treated differently for tax purposes).</w:t>
      </w:r>
    </w:p>
    <w:p>
      <w:pPr>
        <w:spacing w:before="280" w:after="80"/>
      </w:pPr>
      <w:r>
        <w:rPr>
          <w:rFonts w:ascii="Calibri" w:hAnsi="Calibri"/>
          <w:b/>
          <w:color w:val="1F3896"/>
          <w:sz w:val="26"/>
        </w:rPr>
        <w:t>3.  Medium-Risk Deviations — Monitor and Keep Records</w:t>
      </w:r>
    </w:p>
    <w:p>
      <w:pPr>
        <w:spacing w:after="120" w:before="0"/>
      </w:pPr>
      <w:r>
        <w:rPr>
          <w:rFonts w:ascii="Calibri" w:hAnsi="Calibri"/>
          <w:b w:val="0"/>
          <w:sz w:val="22"/>
        </w:rPr>
        <w:t>These items have changed noticeably compared to prior years but are smaller in absolute dollars or have clear explanations. The CRA may not focus on them, but you should be able to explain each one if asked.</w:t>
      </w:r>
    </w:p>
    <w:p>
      <w:pPr>
        <w:spacing w:before="200" w:after="80"/>
      </w:pPr>
      <w:r>
        <w:rPr>
          <w:rFonts w:ascii="Calibri" w:hAnsi="Calibri"/>
          <w:b/>
          <w:color w:val="2E2E2E"/>
          <w:sz w:val="23"/>
        </w:rPr>
        <w:t>A.  Royalty Fee (Account 5710) — Running Slightly Above 12% Contract Rate</w:t>
      </w:r>
    </w:p>
    <w:p>
      <w:pPr>
        <w:spacing w:after="120" w:before="0"/>
      </w:pPr>
      <w:r>
        <w:rPr>
          <w:rFonts w:ascii="Calibri" w:hAnsi="Calibri"/>
          <w:b w:val="0"/>
          <w:sz w:val="22"/>
        </w:rPr>
        <w:t>Your franchise agreement says you pay 12% of gross revenue as a royalty to Spirit of Math. This year, royalties are running at 13.24% of gross tuition — which is slightly above the contractual rate. The same was true last year (13.27%). This is likely a timing issue (royalties may be billed on invoiced amounts before refunds are processed), but it is worth confirming with your bookkeeper.</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 royalties paid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$288,656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13.24% of gross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PY YTD royalties paid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$257,894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13.27% of gross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Expected at 12% of $2,180,365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$261,644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Overage vs. 12% obligation</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+$27,012</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Extra royalties paid or timing difference</w:t>
            </w:r>
          </w:p>
        </w:tc>
      </w:tr>
    </w:tbl>
    <w:p>
      <w:pPr>
        <w:spacing w:after="80"/>
      </w:pPr>
    </w:p>
    <w:p>
      <w:pPr>
        <w:spacing w:after="80"/>
      </w:pPr>
      <w:r>
        <w:rPr>
          <w:rFonts w:ascii="Calibri" w:hAnsi="Calibri"/>
          <w:i/>
          <w:color w:val="606060"/>
          <w:sz w:val="19"/>
        </w:rPr>
        <w:t>This is likely not a CRA issue since paying more royalties than contractually required reduces your income and therefore your tax. But if the CRA reviews related-party payments, they may verify the franchise agreement matches what was actually paid. Keep the royalty invoices from Spirit of Math on file.</w:t>
      </w:r>
    </w:p>
    <w:p>
      <w:pPr>
        <w:spacing w:before="200" w:after="80"/>
      </w:pPr>
      <w:r>
        <w:rPr>
          <w:rFonts w:ascii="Calibri" w:hAnsi="Calibri"/>
          <w:b/>
          <w:color w:val="2E2E2E"/>
          <w:sz w:val="23"/>
        </w:rPr>
        <w:t>B.  Campus Rent (Account 5606) — Up 19.7%, Outpacing Revenue Growth of 12.1%</w:t>
      </w:r>
    </w:p>
    <w:p>
      <w:pPr>
        <w:spacing w:after="120" w:before="0"/>
      </w:pPr>
      <w:r>
        <w:rPr>
          <w:rFonts w:ascii="Calibri" w:hAnsi="Calibri"/>
          <w:b w:val="0"/>
          <w:sz w:val="22"/>
        </w:rPr>
        <w:t>Rent is growing faster than your revenue. Rent went up 19.7% year-over-year while revenue grew only 12.1%. This is generally explainable (landlord increases, lease renewal terms), and the projected full-year amount is above the 3-year average but not dramatically so. Keep your lease agreement on file to support the amount.</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 (Aug 1–Mar 11,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$103,867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4.76%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Prior year same period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$86,751</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4.46%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3-year annual average (full year)</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~$138,768/yr</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from 3-year aggregate P&amp;L</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Projected full-year at current pace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~$160,600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vs. 3-yr avg of $138,768</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Year-over-year dollar increase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+$17,116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+19.7% vs. revenue +12.1%</w:t>
            </w:r>
          </w:p>
        </w:tc>
      </w:tr>
    </w:tbl>
    <w:p>
      <w:pPr>
        <w:spacing w:after="80"/>
      </w:pPr>
    </w:p>
    <w:p>
      <w:pPr>
        <w:shd w:val="clear" w:color="auto" w:fill="FFF3CD"/>
        <w:spacing w:after="160"/>
        <w:ind w:left="144"/>
      </w:pPr>
      <w:r>
        <w:rPr>
          <w:rFonts w:ascii="Calibri" w:hAnsi="Calibri"/>
          <w:color w:val="7D5A00"/>
          <w:sz w:val="22"/>
        </w:rPr>
        <w:t>MEDIUM RISK: The projected full-year rent (~$160,600) is above the 3-year average of $138,768, which the CRA could notice. The main precaution is to keep your signed lease agreement on file to prove the rent amount is arm’s-length (set by the landlord, not by you). A rent increase letter from the landlord would also be helpful to keep on file.</w:t>
      </w:r>
    </w:p>
    <w:p>
      <w:pPr>
        <w:spacing w:before="200" w:after="80"/>
      </w:pPr>
      <w:r>
        <w:rPr>
          <w:rFonts w:ascii="Calibri" w:hAnsi="Calibri"/>
          <w:b/>
          <w:color w:val="2E2E2E"/>
          <w:sz w:val="23"/>
        </w:rPr>
        <w:t>C.  Online Marketing (Account 6208) — Up 731% (Growing Channel)</w:t>
      </w:r>
    </w:p>
    <w:p>
      <w:pPr>
        <w:spacing w:after="120" w:before="0"/>
      </w:pPr>
      <w:r>
        <w:rPr>
          <w:rFonts w:ascii="Calibri" w:hAnsi="Calibri"/>
          <w:b w:val="0"/>
          <w:sz w:val="22"/>
        </w:rPr>
        <w:t>You spent $14,042 on online marketing this year, compared to $1,690 last year. While the absolute dollar amount is not large, this is a rapidly growing expense category that barely existed in your prior history. The CRA may question it if they review your marketing accounts.</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 (Aug 1–Mar 11,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$14,042</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0.64%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Prior year same period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$1,690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0.09%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Year-over-year increase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+$12,352</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+731%</w:t>
            </w:r>
          </w:p>
        </w:tc>
      </w:tr>
    </w:tbl>
    <w:p>
      <w:pPr>
        <w:spacing w:after="80"/>
      </w:pPr>
    </w:p>
    <w:p>
      <w:pPr>
        <w:spacing w:after="80"/>
      </w:pPr>
      <w:r>
        <w:rPr>
          <w:rFonts w:ascii="Calibri" w:hAnsi="Calibri"/>
          <w:i/>
          <w:color w:val="606060"/>
          <w:sz w:val="19"/>
        </w:rPr>
        <w:t>Action: Keep screenshots of the ad campaigns, receipts from Google/Meta/other platforms, and a brief note explaining what the campaigns were for (e.g., ‘Facebook ads for September 2025 enrollment open house’). This also counts toward your marketing obligation spend.</w:t>
      </w:r>
    </w:p>
    <w:p>
      <w:pPr>
        <w:spacing w:before="200" w:after="80"/>
      </w:pPr>
      <w:r>
        <w:rPr>
          <w:rFonts w:ascii="Calibri" w:hAnsi="Calibri"/>
          <w:b/>
          <w:color w:val="2E2E2E"/>
          <w:sz w:val="23"/>
        </w:rPr>
        <w:t>D.  Marketing Space Rental (Account 6202) — Up from $300 to $5,919</w:t>
      </w:r>
    </w:p>
    <w:p>
      <w:pPr>
        <w:spacing w:after="120" w:before="0"/>
      </w:pPr>
      <w:r>
        <w:rPr>
          <w:rFonts w:ascii="Calibri" w:hAnsi="Calibri"/>
          <w:b w:val="0"/>
          <w:sz w:val="22"/>
        </w:rPr>
        <w:t>You spent $5,919 on renting space for marketing events this year, compared to $300 last year. This is a growing type of marketing activity. It is deductible as a business expense, but you should keep the event venue invoices and a record of what events took place.</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$5,919</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0.27%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Prior year same period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0.02%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Year-over-year increase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+$5,619</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+1,873%</w:t>
            </w:r>
          </w:p>
        </w:tc>
      </w:tr>
    </w:tbl>
    <w:p>
      <w:pPr>
        <w:spacing w:after="80"/>
      </w:pPr>
    </w:p>
    <w:p>
      <w:pPr>
        <w:spacing w:after="80"/>
      </w:pPr>
      <w:r>
        <w:rPr>
          <w:rFonts w:ascii="Calibri" w:hAnsi="Calibri"/>
          <w:i/>
          <w:color w:val="606060"/>
          <w:sz w:val="19"/>
        </w:rPr>
        <w:t>Both online marketing and space rental count toward your 3% marketing obligation. See the Task #1 marketing report for the full obligation gap analysis.</w:t>
      </w:r>
    </w:p>
    <w:p>
      <w:pPr>
        <w:spacing w:before="200" w:after="80"/>
      </w:pPr>
      <w:r>
        <w:rPr>
          <w:rFonts w:ascii="Calibri" w:hAnsi="Calibri"/>
          <w:b/>
          <w:color w:val="2E2E2E"/>
          <w:sz w:val="23"/>
        </w:rPr>
        <w:t>E.  Marketing Wages (Account 62010) — $24,000 New This Year  [NEW CATEGORY]</w:t>
      </w:r>
    </w:p>
    <w:p>
      <w:pPr>
        <w:spacing w:after="120" w:before="0"/>
      </w:pPr>
      <w:r>
        <w:rPr>
          <w:rFonts w:ascii="Calibri" w:hAnsi="Calibri"/>
          <w:b w:val="0"/>
          <w:sz w:val="22"/>
        </w:rPr>
        <w:t>A new account — Marketing Wages — appeared this year with $24,000 recorded. Last year this account had $0. This likely represents a staff member whose time is dedicated to marketing activities (e.g., running enrollment campaigns, managing social media). This is a legitimate business expense, but the CRA may ask for documentation to confirm that these wages are genuinely for marketing work — not general administration.</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Current YTD (account 62010)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$24,000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1.10%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Prior year same period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 of tuition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Does it count toward 3% marketing?</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Potentially yes</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If the role is primarily marketing-focused</w:t>
            </w:r>
          </w:p>
        </w:tc>
      </w:tr>
    </w:tbl>
    <w:p>
      <w:pPr>
        <w:spacing w:after="80"/>
      </w:pPr>
    </w:p>
    <w:p>
      <w:pPr>
        <w:shd w:val="clear" w:color="auto" w:fill="FFF3CD"/>
        <w:spacing w:after="160"/>
        <w:ind w:left="144"/>
      </w:pPr>
      <w:r>
        <w:rPr>
          <w:rFonts w:ascii="Calibri" w:hAnsi="Calibri"/>
          <w:color w:val="7D5A00"/>
          <w:sz w:val="22"/>
        </w:rPr>
        <w:t>ACTION: Write a brief memo describing this employee’s marketing role. Keep their offer letter or job description showing that marketing is their primary function. This memo will protect the deduction if the CRA ever reviews it. Confirm with Tang &amp; Partners whether this qualifies under the franchise’s 3% marketing obligation definition.</w:t>
      </w:r>
    </w:p>
    <w:p>
      <w:pPr>
        <w:spacing w:before="280" w:after="80"/>
      </w:pPr>
      <w:r>
        <w:rPr>
          <w:rFonts w:ascii="Calibri" w:hAnsi="Calibri"/>
          <w:b/>
          <w:color w:val="1F3896"/>
          <w:sz w:val="26"/>
        </w:rPr>
        <w:t>4.  Accounting Consistency Issues — Review with Your Bookkeeper</w:t>
      </w:r>
    </w:p>
    <w:p>
      <w:pPr>
        <w:spacing w:after="120" w:before="0"/>
      </w:pPr>
      <w:r>
        <w:rPr>
          <w:rFonts w:ascii="Calibri" w:hAnsi="Calibri"/>
          <w:b w:val="0"/>
          <w:sz w:val="22"/>
        </w:rPr>
        <w:t>These are not CRA risk items in themselves, but they show that some expense categories are being recorded differently this year compared to last year. This inconsistency can create confusion during an audit because the CRA may see accounts that look like they disappeared or appeared out of nowhere.</w:t>
      </w:r>
    </w:p>
    <w:p>
      <w:pPr>
        <w:spacing w:before="200" w:after="80"/>
      </w:pPr>
      <w:r>
        <w:rPr>
          <w:rFonts w:ascii="Calibri" w:hAnsi="Calibri"/>
          <w:b/>
          <w:color w:val="2E2E2E"/>
          <w:sz w:val="23"/>
        </w:rPr>
        <w:t>A.  Materials and Supplies (Account 5100) — $48,631 Last Year, $0 This Year</w:t>
      </w:r>
    </w:p>
    <w:p>
      <w:pPr>
        <w:spacing w:after="120" w:before="0"/>
      </w:pPr>
      <w:r>
        <w:rPr>
          <w:rFonts w:ascii="Calibri" w:hAnsi="Calibri"/>
          <w:b w:val="0"/>
          <w:sz w:val="22"/>
        </w:rPr>
        <w:t>Last year, $48,631 was recorded in account 5100 (Materials and Supplies). This year, the account shows $0. That money did not disappear — it was likely reclassified into a different account (possibly account 5780 Student Handouts, which would help explain why that account is so much higher this year). If an auditor compares the two years, they will notice a large account that had significant spend and then went to zero. Ask your bookkeeper: where did these costs go this year?</w:t>
      </w:r>
    </w:p>
    <w:p>
      <w:pPr>
        <w:shd w:val="clear" w:color="auto" w:fill="FFF3CD"/>
        <w:spacing w:after="160"/>
        <w:ind w:left="144"/>
      </w:pPr>
      <w:r>
        <w:rPr>
          <w:rFonts w:ascii="Calibri" w:hAnsi="Calibri"/>
          <w:color w:val="7D5A00"/>
          <w:sz w:val="22"/>
        </w:rPr>
        <w:t>Ask your bookkeeper: Was the $48,631 that went through account 5100 last year reclassified into account 5780 (Student Handouts) this year? If so, that partly explains the jump in 5780. Make sure there is a clear explanation in your QuickBooks records so the story is consistent across both accounts.</w:t>
      </w:r>
    </w:p>
    <w:p>
      <w:pPr>
        <w:spacing w:before="200" w:after="80"/>
      </w:pPr>
      <w:r>
        <w:rPr>
          <w:rFonts w:ascii="Calibri" w:hAnsi="Calibri"/>
          <w:b/>
          <w:color w:val="2E2E2E"/>
          <w:sz w:val="23"/>
        </w:rPr>
        <w:t>B.  Employee Benefits (Account 5215) — $7,263 Last Year, $0 This Year</w:t>
      </w:r>
    </w:p>
    <w:p>
      <w:pPr>
        <w:spacing w:after="120" w:before="0"/>
      </w:pPr>
      <w:r>
        <w:rPr>
          <w:rFonts w:ascii="Calibri" w:hAnsi="Calibri"/>
          <w:b w:val="0"/>
          <w:sz w:val="22"/>
        </w:rPr>
        <w:t>Employee Benefits (things like extended health or dental coverage for staff) showed $7,263 last year. This year it shows $0. Either the benefit program was cancelled, or the costs are being recorded elsewhere. If the program was cancelled, make a note in your records.</w:t>
      </w:r>
    </w:p>
    <w:p>
      <w:pPr>
        <w:spacing w:after="80"/>
      </w:pPr>
      <w:r>
        <w:rPr>
          <w:rFonts w:ascii="Calibri" w:hAnsi="Calibri"/>
          <w:i/>
          <w:color w:val="606060"/>
          <w:sz w:val="19"/>
        </w:rPr>
        <w:t>Small dollar amount — not a CRA risk on its own. But consistent bookkeeping makes audits much easier. If benefits still exist, find out where they are being coded.</w:t>
      </w:r>
    </w:p>
    <w:p>
      <w:pPr>
        <w:spacing w:before="200" w:after="80"/>
      </w:pPr>
      <w:r>
        <w:rPr>
          <w:rFonts w:ascii="Calibri" w:hAnsi="Calibri"/>
          <w:b/>
          <w:color w:val="2E2E2E"/>
          <w:sz w:val="23"/>
        </w:rPr>
        <w:t>C.  Payroll Breakdown — Reclassification from Unitemized to Sub-Accounts</w:t>
      </w:r>
    </w:p>
    <w:p>
      <w:pPr>
        <w:spacing w:after="120" w:before="0"/>
      </w:pPr>
      <w:r>
        <w:rPr>
          <w:rFonts w:ascii="Calibri" w:hAnsi="Calibri"/>
          <w:b w:val="0"/>
          <w:sz w:val="22"/>
        </w:rPr>
        <w:t>The overall payroll total grew 14.8% this year (from $845,507 to $970,925), which is broadly in line with the 12.1% revenue growth — acceptable. However, the internal breakdown changed significantly. Last year, $158,716 sat in the main ‘5200 Payroll Expense’ account unitemized. This year, that account shows $0 — all payroll is now properly broken into sub-accounts. This is a bookkeeping improvement, not a real change in spending, but it makes some sub-account figures (like 5211 Wages and 5219 FED.TAX) look inflated compared to last year when you look at them in isolation.</w:t>
      </w:r>
    </w:p>
    <w:tbl>
      <w:tblPr>
        <w:tblStyle w:val="TableGrid"/>
        <w:tblW w:type="auto" w:w="0"/>
        <w:jc w:val="left"/>
        <w:tblLook w:firstColumn="1" w:firstRow="1" w:lastColumn="0" w:lastRow="0" w:noHBand="0" w:noVBand="1" w:val="04A0"/>
      </w:tblPr>
      <w:tblGrid>
        <w:gridCol w:w="4032"/>
        <w:gridCol w:w="187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Account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FY2025-26 YTD</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FY2024-25 YTD</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5211 Wages</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$673,823</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$467,053</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5212 CPP Expense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$72,052</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$69,910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5213 EI Expense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$19,826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$18,134</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5214 EHT Expense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$10,944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$4,685</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5217 WSIB Expense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$2,665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$3,512</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5219 FED.TAX</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$191,615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$116,235</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5215 Employee Benefits</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$7,263</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5200 Payroll (unitemized)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$158,716</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Total Payroll</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$970,925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$845,507</w:t>
            </w:r>
          </w:p>
        </w:tc>
      </w:tr>
    </w:tbl>
    <w:p>
      <w:pPr>
        <w:spacing w:after="80"/>
      </w:pPr>
    </w:p>
    <w:p>
      <w:pPr>
        <w:spacing w:after="80"/>
      </w:pPr>
      <w:r>
        <w:rPr>
          <w:rFonts w:ascii="Calibri" w:hAnsi="Calibri"/>
          <w:i/>
          <w:color w:val="606060"/>
          <w:sz w:val="19"/>
        </w:rPr>
        <w:t>Total payroll as a % of tuition: 44.5% this year vs. 43.5% last year. The total is within the normal range (+1.0 percentage point). The CRA is unlikely to flag the total payroll amount — just the internal composition changed due to reclassification from the unitemized 5200 account to proper sub-accounts.</w:t>
      </w:r>
    </w:p>
    <w:p>
      <w:pPr>
        <w:spacing w:before="280" w:after="80"/>
      </w:pPr>
      <w:r>
        <w:rPr>
          <w:rFonts w:ascii="Calibri" w:hAnsi="Calibri"/>
          <w:b/>
          <w:color w:val="1F3896"/>
          <w:sz w:val="26"/>
        </w:rPr>
        <w:t>5.  Expenses That Are Lower Than Usual — No CRA Risk</w:t>
      </w:r>
    </w:p>
    <w:p>
      <w:pPr>
        <w:spacing w:after="120" w:before="0"/>
      </w:pPr>
      <w:r>
        <w:rPr>
          <w:rFonts w:ascii="Calibri" w:hAnsi="Calibri"/>
          <w:b w:val="0"/>
          <w:sz w:val="22"/>
        </w:rPr>
        <w:t>The CRA does not typically audit you for spending less. These categories are significantly lower than in prior years, which is fine. They are listed here for your awareness, and in case the CRA ever asks why certain costs dropped.</w:t>
      </w:r>
    </w:p>
    <w:tbl>
      <w:tblPr>
        <w:tblStyle w:val="TableGrid"/>
        <w:tblW w:type="auto" w:w="0"/>
        <w:jc w:val="left"/>
        <w:tblLook w:firstColumn="1" w:firstRow="1" w:lastColumn="0" w:lastRow="0" w:noHBand="0" w:noVBand="1" w:val="04A0"/>
      </w:tblPr>
      <w:tblGrid>
        <w:gridCol w:w="2304"/>
        <w:gridCol w:w="1224"/>
        <w:gridCol w:w="1224"/>
        <w:gridCol w:w="4464"/>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Category</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Current YTD</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PY YTD</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Merchant Services (6427)</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$10,981</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$28,819</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Down 61.9%. Was 1.48% of tuition, now 0.50%. Fewer credit card payments (more e-transfers?). Big positive drop.</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Repairs &amp; Maintenance (6715)</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$2,514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$20,547</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Down 87.8% vs. PY. Last year was unusually high. Current year is within normal range.</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Finance Charges Total (6420)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$15,099</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$30,376</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Down 50.3%, mainly from lower merchant services. Was 1.56% of tuition, now 0.69%.</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FTC — Franchise Technology Charge (6201.1)</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$23,182</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FTC charges missing entirely this year. See note below.</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IT Expenses Total (6405)</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$95,467</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$97,135</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Stable vs. PY (−2%). Down from 5.0% to 4.4% of tuition. Normal and healthy.</w:t>
            </w:r>
          </w:p>
        </w:tc>
      </w:tr>
    </w:tbl>
    <w:p>
      <w:pPr>
        <w:spacing w:after="80"/>
      </w:pPr>
    </w:p>
    <w:p>
      <w:pPr>
        <w:shd w:val="clear" w:color="auto" w:fill="FFF3CD"/>
        <w:spacing w:after="160"/>
        <w:ind w:left="144"/>
      </w:pPr>
      <w:r>
        <w:rPr>
          <w:rFonts w:ascii="Calibri" w:hAnsi="Calibri"/>
          <w:color w:val="7D5A00"/>
          <w:sz w:val="22"/>
        </w:rPr>
        <w:t>FTC Note: Spirit of Math’s Franchise Technology Charge (FTC) account 6201.1 shows $0 this year, compared to $23,182 last year. If Spirit of Math is still charging you FTC but your bookkeeper has not recorded it, booking those invoices would also count toward your 3% marketing obligation and reduce taxable income. Check with Spirit of Math whether FTC invoices are outstanding.</w:t>
      </w:r>
    </w:p>
    <w:p>
      <w:pPr>
        <w:spacing w:before="280" w:after="80"/>
      </w:pPr>
      <w:r>
        <w:rPr>
          <w:rFonts w:ascii="Calibri" w:hAnsi="Calibri"/>
          <w:b/>
          <w:color w:val="1F3896"/>
          <w:sz w:val="26"/>
        </w:rPr>
        <w:t>6.  Full Category Comparison — Summary at a Glance</w:t>
      </w:r>
    </w:p>
    <w:p>
      <w:pPr>
        <w:spacing w:after="120" w:before="0"/>
      </w:pPr>
      <w:r>
        <w:rPr>
          <w:rFonts w:ascii="Calibri" w:hAnsi="Calibri"/>
          <w:b w:val="0"/>
          <w:sz w:val="22"/>
        </w:rPr>
        <w:t>This table shows all major spending categories and their amounts for the current year and prior year. The PY-1 column from the QuickBooks file covers a 15.5-month period (Aug 2023 – Nov 2024) and cannot be compared directly to a 7.5-month YTD figure. It is marked as non-comparable and omitted from analysis. The 3-year annual averages are referenced in the body sections above.</w:t>
      </w:r>
    </w:p>
    <w:tbl>
      <w:tblPr>
        <w:tblStyle w:val="TableGrid"/>
        <w:tblW w:type="auto" w:w="0"/>
        <w:jc w:val="left"/>
        <w:tblLook w:firstColumn="1" w:firstRow="1" w:lastColumn="0" w:lastRow="0" w:noHBand="0" w:noVBand="1" w:val="04A0"/>
      </w:tblPr>
      <w:tblGrid>
        <w:gridCol w:w="2376"/>
        <w:gridCol w:w="936"/>
        <w:gridCol w:w="648"/>
        <w:gridCol w:w="936"/>
        <w:gridCol w:w="648"/>
        <w:gridCol w:w="1584"/>
        <w:gridCol w:w="648"/>
        <w:gridCol w:w="1224"/>
      </w:tblGrid>
      <w:tr>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Category</w:t>
            </w:r>
          </w:p>
        </w:tc>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Curr. $</w:t>
            </w:r>
          </w:p>
        </w:tc>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Curr. %</w:t>
            </w:r>
          </w:p>
        </w:tc>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PY $</w:t>
            </w:r>
          </w:p>
        </w:tc>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PY %</w:t>
            </w:r>
          </w:p>
        </w:tc>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PY-1 Note</w:t>
            </w:r>
          </w:p>
        </w:tc>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PY-1 %</w:t>
            </w:r>
          </w:p>
        </w:tc>
        <w:tc>
          <w:tcPr>
            <w:tcW w:type="dxa" w:w="117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CRA Risk</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5200 Payroll (total)</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$970,925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44.5%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$845,507</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43.5%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5606 Campus Rent</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$103,867</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4.8%</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$86,751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7D5A00"/>
                <w:sz w:val="22"/>
              </w:rPr>
              <w:t>Low-Med</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5710 Royalty Fee</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$288,656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13.2%</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$257,894</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13.3%</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5780 Student Handouts</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$134,940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6.2%</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$66,904</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3.4%</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color w:val="8B0000"/>
                <w:sz w:val="22"/>
              </w:rPr>
              <w:t>HIGH</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5100 Materials &amp; Supplies</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$48,631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7D5A00"/>
                <w:sz w:val="22"/>
              </w:rPr>
              <w:t>Review</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6200 Marketing (all)</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$61,328</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2.8%</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$48,858</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7D5A00"/>
                <w:sz w:val="22"/>
              </w:rPr>
              <w:t>Below oblig.</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 xml:space="preserve">  incl. FTC (6201.1)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$23,182</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7D5A00"/>
                <w:sz w:val="22"/>
              </w:rPr>
              <w:t>Missing</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 xml:space="preserve">  incl. Online (6208)</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$14,042</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$1,690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7D5A00"/>
                <w:sz w:val="22"/>
              </w:rPr>
              <w:t>Medium</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 xml:space="preserve">  incl. Mktg Wages (62010)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$24,000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7D5A00"/>
                <w:sz w:val="22"/>
              </w:rPr>
              <w:t>New</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6405 IT Expenses (total)</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$95,467</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4.4%</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$97,135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6420 Finance Charges (total)</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$15,099</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0.7%</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$30,376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 (down)</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 xml:space="preserve">  incl. Merchant Svcs (6427)</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$10,981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$28,819</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 (down)</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6600 Insurance</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$18,879</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0.9%</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$11,882</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0.6%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color w:val="8B0000"/>
                <w:sz w:val="22"/>
              </w:rPr>
              <w:t>HIGH</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6602 Cleaning Service</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$5,509</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0.3%</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$5,806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0.3%</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6715 Repairs &amp; Maintenance</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$2,514</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$20,547</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1.1%</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 (down)</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6401 Office/Campus Expenses</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$12,280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$18,630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w:t>
            </w:r>
          </w:p>
        </w:tc>
      </w:tr>
      <w:tr>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6110 Professional Fees</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$13,899</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0.6%</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$9,049</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0.5%</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(non-comparable</w:t>
              <w:br/>
              <w:t>period)</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n/a</w:t>
            </w:r>
          </w:p>
        </w:tc>
        <w:tc>
          <w:tcPr>
            <w:tcW w:type="dxa" w:w="117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7D5A00"/>
                <w:sz w:val="22"/>
              </w:rPr>
              <w:t>Low-Med</w:t>
            </w:r>
          </w:p>
        </w:tc>
      </w:tr>
    </w:tbl>
    <w:p>
      <w:pPr>
        <w:spacing w:after="80"/>
      </w:pPr>
    </w:p>
    <w:p>
      <w:pPr>
        <w:spacing w:after="80"/>
      </w:pPr>
      <w:r>
        <w:rPr>
          <w:rFonts w:ascii="Calibri" w:hAnsi="Calibri"/>
          <w:i/>
          <w:color w:val="606060"/>
          <w:sz w:val="19"/>
        </w:rPr>
        <w:t>Percentages are expressed as % of gross tuition (account 4100) for the same period. Current YTD = Aug 1–Mar 11, 2026. PY = Aug 1–Mar 11, 2025. PY-1 column from source file covers Aug 2023–Nov 2024 (15.5 months) — cannot be used for YTD comparison.</w:t>
      </w:r>
    </w:p>
    <w:p>
      <w:pPr>
        <w:spacing w:before="280" w:after="80"/>
      </w:pPr>
      <w:r>
        <w:rPr>
          <w:rFonts w:ascii="Calibri" w:hAnsi="Calibri"/>
          <w:b/>
          <w:color w:val="1F3896"/>
          <w:sz w:val="26"/>
        </w:rPr>
        <w:t>7.  Your Action Checklist — What To Do Before July 31, 2026</w:t>
      </w:r>
    </w:p>
    <w:p>
      <w:pPr>
        <w:spacing w:after="120" w:before="0"/>
      </w:pPr>
      <w:r>
        <w:rPr>
          <w:rFonts w:ascii="Calibri" w:hAnsi="Calibri"/>
          <w:b w:val="0"/>
          <w:sz w:val="22"/>
        </w:rPr>
        <w:t>Here is a simple checklist of actions to take to reduce your CRA risk and keep your records clean. Work through this with your bookkeeper.</w:t>
      </w:r>
    </w:p>
    <w:p>
      <w:pPr>
        <w:pStyle w:val="ListNumber"/>
        <w:spacing w:after="120"/>
      </w:pPr>
      <w:r>
        <w:rPr>
          <w:rFonts w:ascii="Calibri" w:hAnsi="Calibri"/>
          <w:b/>
          <w:sz w:val="22"/>
        </w:rPr>
        <w:t xml:space="preserve">URGENT: Document every Student Handout purchase  </w:t>
      </w:r>
      <w:r>
        <w:rPr>
          <w:rFonts w:ascii="Calibri" w:hAnsi="Calibri"/>
          <w:sz w:val="22"/>
        </w:rPr>
        <w:t>Pull all entries from account 5780. Confirm each has a supplier invoice. If Spirit of Math raised their materials prices or you ordered extra for ~950 students, write this down in a brief memo and keep it with your tax records. On track for ~$221,000 full-year — this is your highest CRA risk this year. Without documentation, this deduction could be challenged.</w:t>
      </w:r>
    </w:p>
    <w:p>
      <w:pPr>
        <w:pStyle w:val="ListNumber"/>
        <w:spacing w:after="120"/>
      </w:pPr>
      <w:r>
        <w:rPr>
          <w:rFonts w:ascii="Calibri" w:hAnsi="Calibri"/>
          <w:b/>
          <w:sz w:val="22"/>
        </w:rPr>
        <w:t xml:space="preserve">URGENT: Locate your insurance policy documents  </w:t>
      </w:r>
      <w:r>
        <w:rPr>
          <w:rFonts w:ascii="Calibri" w:hAnsi="Calibri"/>
          <w:sz w:val="22"/>
        </w:rPr>
        <w:t>Find the insurance policy (or policies) that explain the $18,879 spent so far this year. Keep the premium invoice and certificate of insurance on file. Ask Tang &amp; Partners whether any portion crosses the July 31 year-end and needs to be treated as prepaid insurance.</w:t>
      </w:r>
    </w:p>
    <w:p>
      <w:pPr>
        <w:pStyle w:val="ListNumber"/>
        <w:spacing w:after="120"/>
      </w:pPr>
      <w:r>
        <w:rPr>
          <w:rFonts w:ascii="Calibri" w:hAnsi="Calibri"/>
          <w:b/>
          <w:sz w:val="22"/>
        </w:rPr>
        <w:t xml:space="preserve">Document the Marketing Wages (account 62010)  </w:t>
      </w:r>
      <w:r>
        <w:rPr>
          <w:rFonts w:ascii="Calibri" w:hAnsi="Calibri"/>
          <w:sz w:val="22"/>
        </w:rPr>
        <w:t>Write a brief memo describing the employee’s marketing role. Keep their job description or offer letter showing that marketing is their primary function. Confirm with Tang &amp; Partners whether this $24,000 qualifies under the franchise’s 3% marketing obligation definition.</w:t>
      </w:r>
    </w:p>
    <w:p>
      <w:pPr>
        <w:pStyle w:val="ListNumber"/>
        <w:spacing w:after="120"/>
      </w:pPr>
      <w:r>
        <w:rPr>
          <w:rFonts w:ascii="Calibri" w:hAnsi="Calibri"/>
          <w:b/>
          <w:sz w:val="22"/>
        </w:rPr>
        <w:t xml:space="preserve">Confirm with bookkeeper: Where did account 5100 go?  </w:t>
      </w:r>
      <w:r>
        <w:rPr>
          <w:rFonts w:ascii="Calibri" w:hAnsi="Calibri"/>
          <w:sz w:val="22"/>
        </w:rPr>
        <w:t>Last year $48,631 went through account 5100 (Materials &amp; Supplies). This year it shows $0. Find out where these costs are being recorded this year. It may partly explain the jump in account 5780 (Student Handouts). Make sure the bookkeeping is consistent year-to-year.</w:t>
      </w:r>
    </w:p>
    <w:p>
      <w:pPr>
        <w:pStyle w:val="ListNumber"/>
        <w:spacing w:after="120"/>
      </w:pPr>
      <w:r>
        <w:rPr>
          <w:rFonts w:ascii="Calibri" w:hAnsi="Calibri"/>
          <w:b/>
          <w:sz w:val="22"/>
        </w:rPr>
        <w:t xml:space="preserve">Confirm with bookkeeper: Employee Benefits (5215)  </w:t>
      </w:r>
      <w:r>
        <w:rPr>
          <w:rFonts w:ascii="Calibri" w:hAnsi="Calibri"/>
          <w:sz w:val="22"/>
        </w:rPr>
        <w:t>This account shows $0 this year vs. $7,263 last year. Either the benefit program was cancelled (make a note), or the costs moved to another account. Keep documentation.</w:t>
      </w:r>
    </w:p>
    <w:p>
      <w:pPr>
        <w:pStyle w:val="ListNumber"/>
        <w:spacing w:after="120"/>
      </w:pPr>
      <w:r>
        <w:rPr>
          <w:rFonts w:ascii="Calibri" w:hAnsi="Calibri"/>
          <w:b/>
          <w:sz w:val="22"/>
        </w:rPr>
        <w:t xml:space="preserve">Check with Spirit of Math about FTC charges (6201.1)  </w:t>
      </w:r>
      <w:r>
        <w:rPr>
          <w:rFonts w:ascii="Calibri" w:hAnsi="Calibri"/>
          <w:sz w:val="22"/>
        </w:rPr>
        <w:t>This account has been $21,000–$23,000 per year for the past two years and is now $0. If Spirit of Math is issuing FTC invoices and they have not been entered in QuickBooks, record them — they count toward your 3% marketing obligation and reduce taxable income.</w:t>
      </w:r>
    </w:p>
    <w:p>
      <w:pPr>
        <w:pStyle w:val="ListNumber"/>
        <w:spacing w:after="120"/>
      </w:pPr>
      <w:r>
        <w:rPr>
          <w:rFonts w:ascii="Calibri" w:hAnsi="Calibri"/>
          <w:b/>
          <w:sz w:val="22"/>
        </w:rPr>
        <w:t xml:space="preserve">Keep records for online marketing (6208) and event space rental (6202)  </w:t>
      </w:r>
      <w:r>
        <w:rPr>
          <w:rFonts w:ascii="Calibri" w:hAnsi="Calibri"/>
          <w:sz w:val="22"/>
        </w:rPr>
        <w:t>These are growing categories. Keep platform receipts (Google Ads, Facebook, etc.) and venue invoices for every marketing event. A brief note about what each event was for makes these much easier to defend in an audit.</w:t>
      </w:r>
    </w:p>
    <w:p>
      <w:pPr>
        <w:pStyle w:val="ListNumber"/>
        <w:spacing w:after="120"/>
      </w:pPr>
      <w:r>
        <w:rPr>
          <w:rFonts w:ascii="Calibri" w:hAnsi="Calibri"/>
          <w:b/>
          <w:sz w:val="22"/>
        </w:rPr>
        <w:t xml:space="preserve">Ask Tang &amp; Partners about the SBD limit before filing  </w:t>
      </w:r>
      <w:r>
        <w:rPr>
          <w:rFonts w:ascii="Calibri" w:hAnsi="Calibri"/>
          <w:sz w:val="22"/>
        </w:rPr>
        <w:t>Your FY2024-25 T2 showed a $300,000 Small Business Deduction limit instead of the usual $500,000. If this applies again, it could affect the tax rate on income above $300,000. Ask about this before year-end, not after.</w:t>
      </w:r>
    </w:p>
    <w:p>
      <w:pPr>
        <w:spacing w:after="40"/>
      </w:pPr>
    </w:p>
    <w:p>
      <w:pPr>
        <w:spacing w:before="280" w:after="80"/>
      </w:pPr>
      <w:r>
        <w:rPr>
          <w:rFonts w:ascii="Calibri" w:hAnsi="Calibri"/>
          <w:b/>
          <w:color w:val="1F3896"/>
          <w:sz w:val="26"/>
        </w:rPr>
        <w:t>8.  The Bottom Line — Plain and Simple</w:t>
      </w:r>
    </w:p>
    <w:p>
      <w:pPr>
        <w:pStyle w:val="ListNumber"/>
        <w:spacing w:after="100"/>
      </w:pPr>
      <w:r>
        <w:rPr>
          <w:rFonts w:ascii="Calibri" w:hAnsi="Calibri"/>
          <w:b/>
          <w:sz w:val="22"/>
        </w:rPr>
        <w:t>Two categories are genuinely out of proportion this year.</w:t>
      </w:r>
      <w:r>
        <w:rPr>
          <w:rFonts w:ascii="Calibri" w:hAnsi="Calibri"/>
          <w:sz w:val="22"/>
        </w:rPr>
        <w:t xml:space="preserve">  Student Handouts more than doubled (+101.7%) and are on track for ~$221,000 full-year — 2.2 times the 3-year average. Insurance is already 6 times the annual average with 4.7 months still to go. These are the two items the CRA is most likely to question. Make sure you have a clear paper trail for both.</w:t>
      </w:r>
    </w:p>
    <w:p>
      <w:pPr>
        <w:pStyle w:val="ListNumber"/>
        <w:spacing w:after="100"/>
      </w:pPr>
      <w:r>
        <w:rPr>
          <w:rFonts w:ascii="Calibri" w:hAnsi="Calibri"/>
          <w:b/>
          <w:sz w:val="22"/>
        </w:rPr>
        <w:t>Everything else is either within normal range or moving in the right direction.</w:t>
      </w:r>
      <w:r>
        <w:rPr>
          <w:rFonts w:ascii="Calibri" w:hAnsi="Calibri"/>
          <w:sz w:val="22"/>
        </w:rPr>
        <w:t xml:space="preserve">  IT costs are stable. Payroll as a percentage of revenue is within the normal band (+1.0pp). Merchant service fees are down 62% and repairs are down 88% — that is fine. The CRA generally does not audit you for spending less.</w:t>
      </w:r>
    </w:p>
    <w:p>
      <w:pPr>
        <w:pStyle w:val="ListNumber"/>
        <w:spacing w:after="100"/>
      </w:pPr>
      <w:r>
        <w:rPr>
          <w:rFonts w:ascii="Calibri" w:hAnsi="Calibri"/>
          <w:b/>
          <w:sz w:val="22"/>
        </w:rPr>
        <w:t>The biggest internal issue is bookkeeping consistency.</w:t>
      </w:r>
      <w:r>
        <w:rPr>
          <w:rFonts w:ascii="Calibri" w:hAnsi="Calibri"/>
          <w:sz w:val="22"/>
        </w:rPr>
        <w:t xml:space="preserve">  Some accounts that had significant spend last year now show $0 (Materials 5100, Employee Benefits 5215, FTC 6201.1). This is not necessarily wrong, but it creates questions. A consistent chart of accounts from year to year makes your records much cleaner for an audit.</w:t>
      </w:r>
    </w:p>
    <w:p>
      <w:pPr>
        <w:pStyle w:val="ListNumber"/>
        <w:spacing w:after="100"/>
      </w:pPr>
      <w:r>
        <w:rPr>
          <w:rFonts w:ascii="Calibri" w:hAnsi="Calibri"/>
          <w:b/>
          <w:sz w:val="22"/>
        </w:rPr>
        <w:t>Your marketing spend is below the 3% obligation — fix this before July 31.</w:t>
      </w:r>
      <w:r>
        <w:rPr>
          <w:rFonts w:ascii="Calibri" w:hAnsi="Calibri"/>
          <w:sz w:val="22"/>
        </w:rPr>
        <w:t xml:space="preserve">  See the Task #1 marketing report. You must spend more on marketing before July 31, 2026. This is a franchise contract obligation AND a tax deduction. It is the single most important financial action for the rest of this fiscal year.</w:t>
      </w:r>
    </w:p>
    <w:p>
      <w:pPr>
        <w:pStyle w:val="ListNumber"/>
        <w:spacing w:after="100"/>
      </w:pPr>
      <w:r>
        <w:rPr>
          <w:rFonts w:ascii="Calibri" w:hAnsi="Calibri"/>
          <w:b/>
          <w:sz w:val="22"/>
        </w:rPr>
        <w:t>Share this report with Tang &amp; Partners before your T2 is filed.</w:t>
      </w:r>
      <w:r>
        <w:rPr>
          <w:rFonts w:ascii="Calibri" w:hAnsi="Calibri"/>
          <w:sz w:val="22"/>
        </w:rPr>
        <w:t xml:space="preserve">  Walk them through the Student Handouts and Insurance increases so they are prepared to answer CRA questions if the return is reviewed. A good accountant can prepare a memo to attach to your return explaining material changes.</w:t>
      </w:r>
    </w:p>
    <w:p>
      <w:pPr>
        <w:spacing w:after="120"/>
      </w:pPr>
    </w:p>
    <w:p>
      <w:pPr>
        <w:spacing w:after="80"/>
      </w:pPr>
      <w:r>
        <w:rPr>
          <w:rFonts w:ascii="Calibri" w:hAnsi="Calibri"/>
          <w:i/>
          <w:color w:val="606060"/>
          <w:sz w:val="19"/>
        </w:rPr>
        <w:t>Disclaimer: This report is based on QuickBooks YTD data (Aug 1–Mar 11, 2026), the 3-year aggregate P&amp;L (Aug 2022–Jul 2025), and the FY2024-25 audited financials. It is an analytical review, not professional tax or legal advice. Share all findings with Tang &amp; Partners LLP (416-987-6005 / thomas@tang.ca) before making decisions.</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