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1F3896"/>
          <w:sz w:val="36"/>
        </w:rPr>
        <w:t>Spending Deviation Analysis — CRA Risk Review</w:t>
      </w:r>
    </w:p>
    <w:p>
      <w:pPr>
        <w:spacing w:after="40"/>
      </w:pPr>
      <w:r>
        <w:rPr>
          <w:rFonts w:ascii="Calibri" w:hAnsi="Calibri"/>
          <w:i/>
          <w:sz w:val="24"/>
        </w:rPr>
        <w:t>Spirit of Math Schools Markham East  —  2039321 Ontario Inc.</w:t>
      </w:r>
    </w:p>
    <w:p>
      <w:pPr>
        <w:spacing w:after="40"/>
      </w:pPr>
      <w:r>
        <w:rPr>
          <w:rFonts w:ascii="Calibri" w:hAnsi="Calibri"/>
          <w:i/>
          <w:color w:val="606060"/>
          <w:sz w:val="20"/>
        </w:rPr>
        <w:t>Report Date: April 7, 2026   |   Fiscal Year: August 1, 2025 – July 31, 2026</w:t>
      </w:r>
    </w:p>
    <w:p>
      <w:pPr>
        <w:spacing w:after="120"/>
      </w:pPr>
      <w:r>
        <w:rPr>
          <w:rFonts w:ascii="Calibri" w:hAnsi="Calibri"/>
          <w:i/>
          <w:color w:val="606060"/>
          <w:sz w:val="19"/>
        </w:rPr>
        <w:t>YTD data through: April 2, 2026   |   Benchmarks: FY2024–25 same-period YTD + 3-year aggregate (Aug 2022–Jul 2025)   |   Note: PY-1 column in source file is a 15.5-month non-comparable period — not used for YTD comparison</w:t>
      </w:r>
    </w:p>
    <w:p>
      <w:pPr>
        <w:pBdr>
          <w:bottom w:val="single" w:sz="6" w:space="1" w:color="999999"/>
        </w:pBdr>
        <w:spacing w:after="120"/>
      </w:pPr>
    </w:p>
    <w:p>
      <w:pPr>
        <w:spacing w:before="280" w:after="80"/>
      </w:pPr>
      <w:r>
        <w:rPr>
          <w:rFonts w:ascii="Calibri" w:hAnsi="Calibri"/>
          <w:b/>
          <w:color w:val="1F3896"/>
          <w:sz w:val="26"/>
        </w:rPr>
        <w:t>Quick Summary — What This Report Tells You</w:t>
      </w:r>
    </w:p>
    <w:p>
      <w:pPr>
        <w:shd w:val="clear" w:color="auto" w:fill="E8F0FE"/>
        <w:spacing w:after="160"/>
        <w:ind w:left="144"/>
      </w:pPr>
      <w:r>
        <w:rPr>
          <w:rFonts w:ascii="Calibri" w:hAnsi="Calibri"/>
          <w:color w:val="1F3896"/>
          <w:sz w:val="22"/>
        </w:rPr>
        <w:t>WHAT THIS REPORT COVERS: Which spending categories are outside the normal range compared to prior years — and which ones the CRA is most likely to question in an audit.</w:t>
        <w:br/>
        <w:br/>
        <w:t>●  HIGH RISK — Student Handouts (account 5780): +108.1% vs. last year. On track for ~$208,468 full-year vs. 3-year average of $100,469. Needs documentation.</w:t>
        <w:br/>
        <w:t>●  HIGH RISK — Insurance (account 6600): +71.4% vs. last year. Already 6.8x the 3-year annual average with 3.9 months still to go. Needs policy documents.</w:t>
        <w:br/>
        <w:t>●  WATCH — FTC charges (6201.1): $4,431 this year vs. $23,182 last year. Confirm all invoices are recorded.</w:t>
        <w:br/>
        <w:t>●  NEW — Marketing Wages (62010): $24,000 this year vs. $0 last year. New category — needs documentation confirming it qualifies as marketing spend.</w:t>
        <w:br/>
        <w:t>●  OK — IT costs, payroll as % of revenue, rent: all within normal range.</w:t>
        <w:br/>
        <w:t>●  GOOD — Merchant service fees and repairs are both significantly lower this year.</w:t>
      </w:r>
    </w:p>
    <w:p>
      <w:pPr>
        <w:shd w:val="clear" w:color="auto" w:fill="FDECEA"/>
        <w:spacing w:after="160"/>
        <w:ind w:left="144"/>
      </w:pPr>
      <w:r>
        <w:rPr>
          <w:rFonts w:ascii="Calibri" w:hAnsi="Calibri"/>
          <w:color w:val="8B0000"/>
          <w:sz w:val="22"/>
        </w:rPr>
        <w:t>URGENT ACTIONS:</w:t>
        <w:br/>
        <w:t>1.  Student Handouts: Pull all account 5780 entries and confirm every one has a supplier invoice. On track for ~$208,468 full-year — more than double the 3-year average of $100,469.</w:t>
        <w:br/>
        <w:t>2.  Insurance: Locate the policy documents explaining the $20,759 spent so far. Keep the premium invoice and certificate on file. Ask Tang &amp; Partners about the prepaid insurance rule.</w:t>
        <w:br/>
        <w:t>3.  Marketing Wages: Document that the $24,000 in account 62010 is a qualifying marketing expense under your franchise agreement.</w:t>
      </w:r>
    </w:p>
    <w:p>
      <w:pPr>
        <w:spacing w:after="80"/>
      </w:pPr>
      <w:r>
        <w:rPr>
          <w:rFonts w:ascii="Calibri" w:hAnsi="Calibri"/>
          <w:i/>
          <w:color w:val="606060"/>
          <w:sz w:val="19"/>
        </w:rPr>
        <w:t>See Section 7 (Action Checklist) for the full list of steps. See Section 8 (Bottom Line) for key takeaways. Sections 2–6 contain the detailed analysis by category.</w:t>
      </w:r>
    </w:p>
    <w:p>
      <w:pPr>
        <w:spacing w:before="280" w:after="80"/>
      </w:pPr>
      <w:r>
        <w:rPr>
          <w:rFonts w:ascii="Calibri" w:hAnsi="Calibri"/>
          <w:b/>
          <w:color w:val="1F3896"/>
          <w:sz w:val="26"/>
        </w:rPr>
        <w:t>1.  What This Report Is For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The Canada Revenue Agency (CRA) reviews business tax returns and looks for expenses that stick out compared to prior years. If one category of spending jumps dramatically without a clear business reason, it can trigger an audit or a request for receipts. This report compares your current-year spending (August 1 – April 2, 2026) to the same period last year and flags anything that deviates significantly.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We also use the three-year aggregate P⁖L (August 2022 – July 2025) as a longer-term benchmark. Think of it as a track record: if a category looks normal over three full years but this year is wildly different, that is exactly what the CRA notices.</w:t>
      </w:r>
    </w:p>
    <w:p>
      <w:pPr>
        <w:shd w:val="clear" w:color="auto" w:fill="FFF3CD"/>
        <w:spacing w:after="160"/>
        <w:ind w:left="144"/>
      </w:pPr>
      <w:r>
        <w:rPr>
          <w:rFonts w:ascii="Calibri" w:hAnsi="Calibri"/>
          <w:color w:val="7D5A00"/>
          <w:sz w:val="22"/>
        </w:rPr>
        <w:t>IMPORTANT NOTE ON THE PY-1 COLUMN: The QuickBooks export file contains three columns. The third column covers 15.5 months — not the same period as the current year. Comparing percentages against a 15.5-month column would be misleading, so this report does NOT use PY-1 YTD figures for comparison. Instead, we use the 3-year annual averages (full fiscal years) as the longer-term benchmark.</w:t>
      </w:r>
    </w:p>
    <w:p>
      <w:pPr>
        <w:spacing w:before="200" w:after="80"/>
      </w:pPr>
      <w:r>
        <w:rPr>
          <w:rFonts w:ascii="Calibri" w:hAnsi="Calibri"/>
          <w:b/>
          <w:color w:val="2E2E2E"/>
          <w:sz w:val="23"/>
        </w:rPr>
        <w:t>Revenue Context (for proportionality)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Before comparing expenses, it helps to see how revenue is growing.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600"/>
        <w:gridCol w:w="1872"/>
        <w:gridCol w:w="1872"/>
        <w:gridCol w:w="1872"/>
      </w:tblGrid>
      <w:tr>
        <w:tc>
          <w:tcPr>
            <w:tcW w:type="dxa" w:w="234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Item</w:t>
            </w:r>
          </w:p>
        </w:tc>
        <w:tc>
          <w:tcPr>
            <w:tcW w:type="dxa" w:w="234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FY2025-26 YTD</w:t>
            </w:r>
          </w:p>
        </w:tc>
        <w:tc>
          <w:tcPr>
            <w:tcW w:type="dxa" w:w="234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PY YTD</w:t>
            </w:r>
          </w:p>
        </w:tc>
        <w:tc>
          <w:tcPr>
            <w:tcW w:type="dxa" w:w="234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Change</w:t>
            </w:r>
          </w:p>
        </w:tc>
      </w:tr>
      <w:tr>
        <w:tc>
          <w:tcPr>
            <w:tcW w:type="dxa" w:w="23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Gross tuition (acct 4100)</w:t>
            </w:r>
          </w:p>
        </w:tc>
        <w:tc>
          <w:tcPr>
            <w:tcW w:type="dxa" w:w="23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$3,176,493</w:t>
            </w:r>
          </w:p>
        </w:tc>
        <w:tc>
          <w:tcPr>
            <w:tcW w:type="dxa" w:w="23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$2,817,674</w:t>
            </w:r>
          </w:p>
        </w:tc>
        <w:tc>
          <w:tcPr>
            <w:tcW w:type="dxa" w:w="23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+12.7%</w:t>
            </w:r>
          </w:p>
        </w:tc>
      </w:tr>
      <w:tr>
        <w:tc>
          <w:tcPr>
            <w:tcW w:type="dxa" w:w="23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YTD period</w:t>
            </w:r>
          </w:p>
        </w:tc>
        <w:tc>
          <w:tcPr>
            <w:tcW w:type="dxa" w:w="23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Aug 1–April 2, 2026</w:t>
            </w:r>
          </w:p>
        </w:tc>
        <w:tc>
          <w:tcPr>
            <w:tcW w:type="dxa" w:w="23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Aug 1–prior year same date</w:t>
            </w:r>
          </w:p>
        </w:tc>
        <w:tc>
          <w:tcPr>
            <w:tcW w:type="dxa" w:w="23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</w:r>
          </w:p>
        </w:tc>
      </w:tr>
      <w:tr>
        <w:tc>
          <w:tcPr>
            <w:tcW w:type="dxa" w:w="23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Note on PY-1 column</w:t>
            </w:r>
          </w:p>
        </w:tc>
        <w:tc>
          <w:tcPr>
            <w:tcW w:type="dxa" w:w="23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n/a (15.5-month non-comparable period)</w:t>
            </w:r>
          </w:p>
        </w:tc>
        <w:tc>
          <w:tcPr>
            <w:tcW w:type="dxa" w:w="23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—</w:t>
            </w:r>
          </w:p>
        </w:tc>
        <w:tc>
          <w:tcPr>
            <w:tcW w:type="dxa" w:w="23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—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/>
          <w:i/>
          <w:color w:val="606060"/>
          <w:sz w:val="19"/>
        </w:rPr>
        <w:t>Revenue grew +12.7% year-over-year. All expense percentages in this report are expressed as a share of gross tuition so that growth is factored in.</w:t>
      </w:r>
    </w:p>
    <w:p>
      <w:pPr>
        <w:spacing w:before="280" w:after="80"/>
      </w:pPr>
      <w:r>
        <w:rPr>
          <w:rFonts w:ascii="Calibri" w:hAnsi="Calibri"/>
          <w:b/>
          <w:color w:val="1F3896"/>
          <w:sz w:val="26"/>
        </w:rPr>
        <w:t>2.  High-Risk Deviations — Prepare Documentation Now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These two categories have increased so much that they are very likely to be questioned by the CRA. This does not mean anything illegal has happened — it just means you need to have clear paperwork ready.</w:t>
      </w:r>
    </w:p>
    <w:p>
      <w:pPr>
        <w:spacing w:before="200" w:after="80"/>
      </w:pPr>
      <w:r>
        <w:rPr>
          <w:rFonts w:ascii="Calibri" w:hAnsi="Calibri"/>
          <w:b/>
          <w:color w:val="2E2E2E"/>
          <w:sz w:val="23"/>
        </w:rPr>
        <w:t>A.  Student Handouts (Account 5780) — +108.1%  [CRITICAL]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Student Handouts covers workbooks, printouts, and learning materials distributed to students. This year the cost has jumped +108.1% compared to last year, even though revenue grew by only +12.7%. That mismatch is exactly what the CRA looks for.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032"/>
        <w:gridCol w:w="1872"/>
        <w:gridCol w:w="2736"/>
      </w:tblGrid>
      <w:tr>
        <w:tc>
          <w:tcPr>
            <w:tcW w:type="dxa" w:w="312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Item</w:t>
            </w:r>
          </w:p>
        </w:tc>
        <w:tc>
          <w:tcPr>
            <w:tcW w:type="dxa" w:w="312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Amount</w:t>
            </w:r>
          </w:p>
        </w:tc>
        <w:tc>
          <w:tcPr>
            <w:tcW w:type="dxa" w:w="312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As % of Tuition / Note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Current YTD (Aug 1–April 2, 2026)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$139,253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4.38% of tuition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Prior year same period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$66,904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2.11% of tuition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3-year full-year annual average (FY2022-23 to FY2024-25)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$100,469/yr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approx. 3.5% of tuition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Year-over-year dollar increase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$72,349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Year-over-year percentage increase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+108.1%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vs. revenue growth of +12.7%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Projected full-year at current pace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~$208,468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vs. 3-yr avg of $100,469</w:t>
            </w:r>
          </w:p>
        </w:tc>
      </w:tr>
    </w:tbl>
    <w:p>
      <w:pPr>
        <w:spacing w:after="80"/>
      </w:pPr>
    </w:p>
    <w:p>
      <w:pPr>
        <w:shd w:val="clear" w:color="auto" w:fill="FDECEA"/>
        <w:spacing w:after="160"/>
        <w:ind w:left="144"/>
      </w:pPr>
      <w:r>
        <w:rPr>
          <w:rFonts w:ascii="Calibri" w:hAnsi="Calibri"/>
          <w:color w:val="8B0000"/>
          <w:sz w:val="22"/>
        </w:rPr>
        <w:t>RISK: Handouts are on track to reach ~$208,468 this year — more than double the 3-year annual average of $100,469. The CRA may request itemized proof of every purchase. Keep all supplier invoices and delivery records. Write a brief memo now if there is a business reason for the jump (e.g., new curriculum materials, price increases from Spirit of Math, or a large one-time order).</w:t>
      </w:r>
    </w:p>
    <w:p>
      <w:pPr>
        <w:spacing w:after="80"/>
      </w:pPr>
      <w:r>
        <w:rPr>
          <w:rFonts w:ascii="Calibri" w:hAnsi="Calibri"/>
          <w:i/>
          <w:color w:val="606060"/>
          <w:sz w:val="19"/>
        </w:rPr>
        <w:t>Action: Ask your bookkeeper to pull all individual entries in account 5780 this year. Make sure each one has a supplier invoice.</w:t>
      </w:r>
    </w:p>
    <w:p>
      <w:pPr>
        <w:spacing w:before="200" w:after="80"/>
      </w:pPr>
      <w:r>
        <w:rPr>
          <w:rFonts w:ascii="Calibri" w:hAnsi="Calibri"/>
          <w:b/>
          <w:color w:val="2E2E2E"/>
          <w:sz w:val="23"/>
        </w:rPr>
        <w:t>B.  Insurance (Account 6600) — +71.4% vs. Last Year; 6.8x the 3-Year Annual Average  [HIGH RISK]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Insurance is one of those expenses that should stay relatively stable year to year. Your insurance cost has already exceeded the full-year 3-year average with 3.9 months still remaining in the fiscal year.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032"/>
        <w:gridCol w:w="1872"/>
        <w:gridCol w:w="2736"/>
      </w:tblGrid>
      <w:tr>
        <w:tc>
          <w:tcPr>
            <w:tcW w:type="dxa" w:w="312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Item</w:t>
            </w:r>
          </w:p>
        </w:tc>
        <w:tc>
          <w:tcPr>
            <w:tcW w:type="dxa" w:w="312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Amount</w:t>
            </w:r>
          </w:p>
        </w:tc>
        <w:tc>
          <w:tcPr>
            <w:tcW w:type="dxa" w:w="312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Note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Current YTD (Aug 1–April 2, 2026)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$20,759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0.65% of tuition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Prior year same period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$12,113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0.38% of tuition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3-year full-year annual average (FY2022-23 to FY2024-25)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$3,073/yr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from $9,219 over 3 years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Year-over-year dollar increase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$8,646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+71.4%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Projected full-year at current pace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~$31,077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vs. 3-yr avg of $3,073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Current YTD vs. 3-yr annual average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6.8x higher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Already exceeds the full annual average</w:t>
            </w:r>
          </w:p>
        </w:tc>
      </w:tr>
    </w:tbl>
    <w:p>
      <w:pPr>
        <w:spacing w:after="80"/>
      </w:pPr>
    </w:p>
    <w:p>
      <w:pPr>
        <w:shd w:val="clear" w:color="auto" w:fill="FDECEA"/>
        <w:spacing w:after="160"/>
        <w:ind w:left="144"/>
      </w:pPr>
      <w:r>
        <w:rPr>
          <w:rFonts w:ascii="Calibri" w:hAnsi="Calibri"/>
          <w:color w:val="8B0000"/>
          <w:sz w:val="22"/>
        </w:rPr>
        <w:t>RISK: Insurance is on track for ~$31,077 this year — approximately 10 times the 3-year annual average. This will stand out on the T2. You need a clear explanation: What changed? Did you add a new policy? Keep all insurance policy documents and the broker’s invoice.</w:t>
      </w:r>
    </w:p>
    <w:p>
      <w:pPr>
        <w:spacing w:after="80"/>
      </w:pPr>
      <w:r>
        <w:rPr>
          <w:rFonts w:ascii="Calibri" w:hAnsi="Calibri"/>
          <w:i/>
          <w:color w:val="606060"/>
          <w:sz w:val="19"/>
        </w:rPr>
        <w:t>Action: Locate the insurance policy that explains this amount. Keep the premium invoice and certificate of insurance in your records. Ask Tang &amp; Partners whether any portion is for a period beyond July 31, 2026.</w:t>
      </w:r>
    </w:p>
    <w:p>
      <w:pPr>
        <w:spacing w:before="280" w:after="80"/>
      </w:pPr>
      <w:r>
        <w:rPr>
          <w:rFonts w:ascii="Calibri" w:hAnsi="Calibri"/>
          <w:b/>
          <w:color w:val="1F3896"/>
          <w:sz w:val="26"/>
        </w:rPr>
        <w:t>3.  Medium-Risk Deviations — Monitor and Keep Records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These items have changed noticeably compared to prior years but are smaller in absolute dollars or have clear explanations.</w:t>
      </w:r>
    </w:p>
    <w:p>
      <w:pPr>
        <w:spacing w:before="200" w:after="80"/>
      </w:pPr>
      <w:r>
        <w:rPr>
          <w:rFonts w:ascii="Calibri" w:hAnsi="Calibri"/>
          <w:b/>
          <w:color w:val="2E2E2E"/>
          <w:sz w:val="23"/>
        </w:rPr>
        <w:t>A.  Royalty Fee (Account 5710) — Running at 9.12% vs. 12% Contract Rate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Your franchise agreement says you pay 12% of gross revenue as a royalty to Spirit of Math. This year, royalties are running at 9.12% of gross tuition — slightly at the contractual rate. The same was true last year (9.21%). This is likely a timing issue, but it is worth confirming with your bookkeeper.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032"/>
        <w:gridCol w:w="1872"/>
        <w:gridCol w:w="2736"/>
      </w:tblGrid>
      <w:tr>
        <w:tc>
          <w:tcPr>
            <w:tcW w:type="dxa" w:w="312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Item</w:t>
            </w:r>
          </w:p>
        </w:tc>
        <w:tc>
          <w:tcPr>
            <w:tcW w:type="dxa" w:w="312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Amount</w:t>
            </w:r>
          </w:p>
        </w:tc>
        <w:tc>
          <w:tcPr>
            <w:tcW w:type="dxa" w:w="312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Note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Current YTD royalties paid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$289,628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9.12% of gross tuition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PY YTD royalties paid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$259,461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9.21% of gross tuition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Expected at 12% of $3,176,493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$381,179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12.0%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Overage vs. 12% obligation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−$91,551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Extra royalties paid or timing difference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/>
          <w:i/>
          <w:color w:val="606060"/>
          <w:sz w:val="19"/>
        </w:rPr>
        <w:t>Paying more royalties than contractually required reduces your income and therefore your tax. Keep the royalty invoices from Spirit of Math on file.</w:t>
      </w:r>
    </w:p>
    <w:p>
      <w:pPr>
        <w:spacing w:before="200" w:after="80"/>
      </w:pPr>
      <w:r>
        <w:rPr>
          <w:rFonts w:ascii="Calibri" w:hAnsi="Calibri"/>
          <w:b/>
          <w:color w:val="2E2E2E"/>
          <w:sz w:val="23"/>
        </w:rPr>
        <w:t>B.  Campus Rent (Account 5606) — +20.0%, Outpacing Revenue Growth of +12.7%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Rent is growing faster than your revenue. Rent went up +20.0% year-over-year while revenue grew only +12.7%. This is generally explainable (landlord increases, lease renewal terms). Keep your lease on file.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032"/>
        <w:gridCol w:w="1872"/>
        <w:gridCol w:w="2736"/>
      </w:tblGrid>
      <w:tr>
        <w:tc>
          <w:tcPr>
            <w:tcW w:type="dxa" w:w="312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Item</w:t>
            </w:r>
          </w:p>
        </w:tc>
        <w:tc>
          <w:tcPr>
            <w:tcW w:type="dxa" w:w="312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Amount</w:t>
            </w:r>
          </w:p>
        </w:tc>
        <w:tc>
          <w:tcPr>
            <w:tcW w:type="dxa" w:w="312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Note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Current YTD (Aug 1–April 2, 2026)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$116,890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3.68% of tuition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Prior year same period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$97,430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3.07% of tuition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3-year annual average (full year)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~$138,768/yr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from 3-year aggregate P⁖L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Projected full-year at current pace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~$174,990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vs. 3-yr avg of $138,768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Year-over-year dollar increase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$19,460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+20.0%</w:t>
            </w:r>
          </w:p>
        </w:tc>
      </w:tr>
    </w:tbl>
    <w:p>
      <w:pPr>
        <w:spacing w:after="80"/>
      </w:pPr>
    </w:p>
    <w:p>
      <w:pPr>
        <w:shd w:val="clear" w:color="auto" w:fill="FFF3CD"/>
        <w:spacing w:after="160"/>
        <w:ind w:left="144"/>
      </w:pPr>
      <w:r>
        <w:rPr>
          <w:rFonts w:ascii="Calibri" w:hAnsi="Calibri"/>
          <w:color w:val="7D5A00"/>
          <w:sz w:val="22"/>
        </w:rPr>
        <w:t>MEDIUM RISK: The projected full-year rent (~$174,990) is above the 3-year average of $138,768. Keep your signed lease agreement on file.</w:t>
      </w:r>
    </w:p>
    <w:p>
      <w:pPr>
        <w:spacing w:before="200" w:after="80"/>
      </w:pPr>
      <w:r>
        <w:rPr>
          <w:rFonts w:ascii="Calibri" w:hAnsi="Calibri"/>
          <w:b/>
          <w:color w:val="2E2E2E"/>
          <w:sz w:val="23"/>
        </w:rPr>
        <w:t>C.  Online Marketing (Account 6208) — +481.3% (Growing Channel)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You spent $15,582 on online marketing this year, compared to $2,681 last year. While the absolute dollar amount is not large, this is a rapidly growing category. The CRA may question it if they review your marketing accounts.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032"/>
        <w:gridCol w:w="1872"/>
        <w:gridCol w:w="2736"/>
      </w:tblGrid>
      <w:tr>
        <w:tc>
          <w:tcPr>
            <w:tcW w:type="dxa" w:w="312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Item</w:t>
            </w:r>
          </w:p>
        </w:tc>
        <w:tc>
          <w:tcPr>
            <w:tcW w:type="dxa" w:w="312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Amount</w:t>
            </w:r>
          </w:p>
        </w:tc>
        <w:tc>
          <w:tcPr>
            <w:tcW w:type="dxa" w:w="312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Note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Current YTD (Aug 1–April 2, 2026)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$15,582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0.49% of tuition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Prior year same period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$2,681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0.08% of tuition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Year-over-year increase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$12,902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+481.3%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/>
          <w:i/>
          <w:color w:val="606060"/>
          <w:sz w:val="19"/>
        </w:rPr>
        <w:t>Action: Keep screenshots of the ad campaigns and receipts from Google/Meta/other platforms. A brief note about what each campaign was for makes these easy to defend in an audit.</w:t>
      </w:r>
    </w:p>
    <w:p>
      <w:pPr>
        <w:spacing w:before="200" w:after="80"/>
      </w:pPr>
      <w:r>
        <w:rPr>
          <w:rFonts w:ascii="Calibri" w:hAnsi="Calibri"/>
          <w:b/>
          <w:color w:val="2E2E2E"/>
          <w:sz w:val="23"/>
        </w:rPr>
        <w:t>D.  Marketing Space Rental (Account 6202) — $300 to $5,919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You spent $5,919 on renting space for marketing events this year, compared to $300 last year. It is deductible as a business expense, but keep the event venue invoices.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032"/>
        <w:gridCol w:w="1872"/>
        <w:gridCol w:w="2736"/>
      </w:tblGrid>
      <w:tr>
        <w:tc>
          <w:tcPr>
            <w:tcW w:type="dxa" w:w="312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Item</w:t>
            </w:r>
          </w:p>
        </w:tc>
        <w:tc>
          <w:tcPr>
            <w:tcW w:type="dxa" w:w="312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Amount</w:t>
            </w:r>
          </w:p>
        </w:tc>
        <w:tc>
          <w:tcPr>
            <w:tcW w:type="dxa" w:w="312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Note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Current YTD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$5,919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0.19% of tuition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Prior year same period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$300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0.01% of tuition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Year-over-year increase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$5,619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+1873.2%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/>
          <w:i/>
          <w:color w:val="606060"/>
          <w:sz w:val="19"/>
        </w:rPr>
        <w:t>Both online marketing and space rental count toward your 3% marketing obligation.</w:t>
      </w:r>
    </w:p>
    <w:p>
      <w:pPr>
        <w:spacing w:before="200" w:after="80"/>
      </w:pPr>
      <w:r>
        <w:rPr>
          <w:rFonts w:ascii="Calibri" w:hAnsi="Calibri"/>
          <w:b/>
          <w:color w:val="2E2E2E"/>
          <w:sz w:val="23"/>
        </w:rPr>
        <w:t>E.  Marketing Wages (Account 62010) — $24,000 This Year  [NEW CATEGORY]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Marketing Wages shows $24,000 recorded this year vs. $0 last year. This likely represents a staff member whose time is dedicated to marketing activities. This is a legitimate business expense, but the CRA may ask for documentation.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032"/>
        <w:gridCol w:w="1872"/>
        <w:gridCol w:w="2736"/>
      </w:tblGrid>
      <w:tr>
        <w:tc>
          <w:tcPr>
            <w:tcW w:type="dxa" w:w="312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Item</w:t>
            </w:r>
          </w:p>
        </w:tc>
        <w:tc>
          <w:tcPr>
            <w:tcW w:type="dxa" w:w="312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Amount</w:t>
            </w:r>
          </w:p>
        </w:tc>
        <w:tc>
          <w:tcPr>
            <w:tcW w:type="dxa" w:w="312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Note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Current YTD (account 62010)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$24,000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0.76% of tuition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Prior year same period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$0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0.00% of tuition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Does it count toward 3% marketing?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Potentially yes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If the role is primarily marketing-focused</w:t>
            </w:r>
          </w:p>
        </w:tc>
      </w:tr>
    </w:tbl>
    <w:p>
      <w:pPr>
        <w:spacing w:after="80"/>
      </w:pPr>
    </w:p>
    <w:p>
      <w:pPr>
        <w:shd w:val="clear" w:color="auto" w:fill="FFF3CD"/>
        <w:spacing w:after="160"/>
        <w:ind w:left="144"/>
      </w:pPr>
      <w:r>
        <w:rPr>
          <w:rFonts w:ascii="Calibri" w:hAnsi="Calibri"/>
          <w:color w:val="7D5A00"/>
          <w:sz w:val="22"/>
        </w:rPr>
        <w:t>ACTION: Write a brief memo describing this employee’s marketing role. Keep their offer letter or job description. Confirm with Tang &amp; Partners whether this qualifies under the franchise’s 3% marketing obligation definition.</w:t>
      </w:r>
    </w:p>
    <w:p>
      <w:pPr>
        <w:spacing w:before="280" w:after="80"/>
      </w:pPr>
      <w:r>
        <w:rPr>
          <w:rFonts w:ascii="Calibri" w:hAnsi="Calibri"/>
          <w:b/>
          <w:color w:val="1F3896"/>
          <w:sz w:val="26"/>
        </w:rPr>
        <w:t>4.  Accounting Consistency Issues — Review with Your Bookkeeper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These are not CRA risk items in themselves, but they show that some expense categories are being recorded differently this year compared to last year.</w:t>
      </w:r>
    </w:p>
    <w:p>
      <w:pPr>
        <w:spacing w:before="200" w:after="80"/>
      </w:pPr>
      <w:r>
        <w:rPr>
          <w:rFonts w:ascii="Calibri" w:hAnsi="Calibri"/>
          <w:b/>
          <w:color w:val="2E2E2E"/>
          <w:sz w:val="23"/>
        </w:rPr>
        <w:t>A.  Materials and Supplies (Account 5100) — $50,348 Last Year, $0 This Year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Last year, $50,348 was recorded in account 5100. This year, the account shows $0. That money did not disappear — it was likely reclassified into a different account (possibly account 5780 Student Handouts, which would help explain why that account is so much higher this year).</w:t>
      </w:r>
    </w:p>
    <w:p>
      <w:pPr>
        <w:shd w:val="clear" w:color="auto" w:fill="FFF3CD"/>
        <w:spacing w:after="160"/>
        <w:ind w:left="144"/>
      </w:pPr>
      <w:r>
        <w:rPr>
          <w:rFonts w:ascii="Calibri" w:hAnsi="Calibri"/>
          <w:color w:val="7D5A00"/>
          <w:sz w:val="22"/>
        </w:rPr>
        <w:t>Ask your bookkeeper: Was the spend that went through account 5100 last year reclassified into account 5780 (Student Handouts) this year? If so, that partly explains the jump in 5780.</w:t>
      </w:r>
    </w:p>
    <w:p>
      <w:pPr>
        <w:spacing w:before="200" w:after="80"/>
      </w:pPr>
      <w:r>
        <w:rPr>
          <w:rFonts w:ascii="Calibri" w:hAnsi="Calibri"/>
          <w:b/>
          <w:color w:val="2E2E2E"/>
          <w:sz w:val="23"/>
        </w:rPr>
        <w:t>B.  Employee Benefits (Account 5215) — $7,263 Last Year, $0 This Year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Employee Benefits showed $7,263 last year. This year it shows $0. Either the benefit program was cancelled, or the costs are being recorded elsewhere. Make a note in your records.</w:t>
      </w:r>
    </w:p>
    <w:p>
      <w:pPr>
        <w:spacing w:after="80"/>
      </w:pPr>
      <w:r>
        <w:rPr>
          <w:rFonts w:ascii="Calibri" w:hAnsi="Calibri"/>
          <w:i/>
          <w:color w:val="606060"/>
          <w:sz w:val="19"/>
        </w:rPr>
        <w:t>Small dollar amount — not a CRA risk on its own. But consistent bookkeeping makes audits much easier.</w:t>
      </w:r>
    </w:p>
    <w:p>
      <w:pPr>
        <w:spacing w:before="200" w:after="80"/>
      </w:pPr>
      <w:r>
        <w:rPr>
          <w:rFonts w:ascii="Calibri" w:hAnsi="Calibri"/>
          <w:b/>
          <w:color w:val="2E2E2E"/>
          <w:sz w:val="23"/>
        </w:rPr>
        <w:t>C.  Payroll Breakdown — Total Grew +12.7% (Broadly In Line with Revenue)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The overall payroll total grew +12.7% this year ($982,339 to $1,107,379), which is broadly in line with the +12.7% revenue growth. The internal breakdown changed significantly as payroll is now broken into proper sub-accounts.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032"/>
        <w:gridCol w:w="1872"/>
        <w:gridCol w:w="2736"/>
      </w:tblGrid>
      <w:tr>
        <w:tc>
          <w:tcPr>
            <w:tcW w:type="dxa" w:w="312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Account</w:t>
            </w:r>
          </w:p>
        </w:tc>
        <w:tc>
          <w:tcPr>
            <w:tcW w:type="dxa" w:w="312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FY2025-26 YTD</w:t>
            </w:r>
          </w:p>
        </w:tc>
        <w:tc>
          <w:tcPr>
            <w:tcW w:type="dxa" w:w="312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FY2024-25 YTD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5211 Wages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$768,198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$563,163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5212 CPP Expense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$85,062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$83,501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5213 EI Expense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$22,566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$20,591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5214 EHT Expense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$10,944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$4,685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5217 WSIB Expense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$2,665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$4,669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5219 FED.TAX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$217,944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$139,751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5215 Employee Benefits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$0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$7,263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5200 Payroll (unitemized)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$0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$158,716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Total Payroll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$1,107,379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$982,339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/>
          <w:i/>
          <w:color w:val="606060"/>
          <w:sz w:val="19"/>
        </w:rPr>
        <w:t>Total payroll as a % of tuition: 34.9% this year vs. 34.9% last year. The total is within the normal range. The composition changed due to reclassification.</w:t>
      </w:r>
    </w:p>
    <w:p>
      <w:pPr>
        <w:spacing w:before="280" w:after="80"/>
      </w:pPr>
      <w:r>
        <w:rPr>
          <w:rFonts w:ascii="Calibri" w:hAnsi="Calibri"/>
          <w:b/>
          <w:color w:val="1F3896"/>
          <w:sz w:val="26"/>
        </w:rPr>
        <w:t>5.  Expenses That Are Lower Than Usual — No CRA Risk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The CRA does not typically audit you for spending less. These categories are significantly lower than in prior years.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04"/>
        <w:gridCol w:w="1224"/>
        <w:gridCol w:w="1224"/>
        <w:gridCol w:w="4464"/>
      </w:tblGrid>
      <w:tr>
        <w:tc>
          <w:tcPr>
            <w:tcW w:type="dxa" w:w="234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Category</w:t>
            </w:r>
          </w:p>
        </w:tc>
        <w:tc>
          <w:tcPr>
            <w:tcW w:type="dxa" w:w="234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Current YTD</w:t>
            </w:r>
          </w:p>
        </w:tc>
        <w:tc>
          <w:tcPr>
            <w:tcW w:type="dxa" w:w="234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PY YTD</w:t>
            </w:r>
          </w:p>
        </w:tc>
        <w:tc>
          <w:tcPr>
            <w:tcW w:type="dxa" w:w="234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Note</w:t>
            </w:r>
          </w:p>
        </w:tc>
      </w:tr>
      <w:tr>
        <w:tc>
          <w:tcPr>
            <w:tcW w:type="dxa" w:w="23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Merchant Services (6427)</w:t>
            </w:r>
          </w:p>
        </w:tc>
        <w:tc>
          <w:tcPr>
            <w:tcW w:type="dxa" w:w="23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$21,991</w:t>
            </w:r>
          </w:p>
        </w:tc>
        <w:tc>
          <w:tcPr>
            <w:tcW w:type="dxa" w:w="23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$28,819</w:t>
            </w:r>
          </w:p>
        </w:tc>
        <w:tc>
          <w:tcPr>
            <w:tcW w:type="dxa" w:w="23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Down -23.7%. Was 1.02% of tuition, now 0.69%. Big positive drop.</w:t>
            </w:r>
          </w:p>
        </w:tc>
      </w:tr>
      <w:tr>
        <w:tc>
          <w:tcPr>
            <w:tcW w:type="dxa" w:w="23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Repairs &amp; Maintenance (6715)</w:t>
            </w:r>
          </w:p>
        </w:tc>
        <w:tc>
          <w:tcPr>
            <w:tcW w:type="dxa" w:w="23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$2,689</w:t>
            </w:r>
          </w:p>
        </w:tc>
        <w:tc>
          <w:tcPr>
            <w:tcW w:type="dxa" w:w="23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$23,231</w:t>
            </w:r>
          </w:p>
        </w:tc>
        <w:tc>
          <w:tcPr>
            <w:tcW w:type="dxa" w:w="23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Down -88.4% vs. PY. Last year was unusually high. Current year is within normal range.</w:t>
            </w:r>
          </w:p>
        </w:tc>
      </w:tr>
      <w:tr>
        <w:tc>
          <w:tcPr>
            <w:tcW w:type="dxa" w:w="23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Finance Charges Total (6420)</w:t>
            </w:r>
          </w:p>
        </w:tc>
        <w:tc>
          <w:tcPr>
            <w:tcW w:type="dxa" w:w="23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$26,195</w:t>
            </w:r>
          </w:p>
        </w:tc>
        <w:tc>
          <w:tcPr>
            <w:tcW w:type="dxa" w:w="23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$30,543</w:t>
            </w:r>
          </w:p>
        </w:tc>
        <w:tc>
          <w:tcPr>
            <w:tcW w:type="dxa" w:w="23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Down -14.2%, mainly from lower merchant services.</w:t>
            </w:r>
          </w:p>
        </w:tc>
      </w:tr>
      <w:tr>
        <w:tc>
          <w:tcPr>
            <w:tcW w:type="dxa" w:w="23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FTC — Franchise Technology Charge (6201.1)</w:t>
            </w:r>
          </w:p>
        </w:tc>
        <w:tc>
          <w:tcPr>
            <w:tcW w:type="dxa" w:w="23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$4,431</w:t>
            </w:r>
          </w:p>
        </w:tc>
        <w:tc>
          <w:tcPr>
            <w:tcW w:type="dxa" w:w="23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$23,182</w:t>
            </w:r>
          </w:p>
        </w:tc>
        <w:tc>
          <w:tcPr>
            <w:tcW w:type="dxa" w:w="23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FTC charges lower this year. See note below.</w:t>
            </w:r>
          </w:p>
        </w:tc>
      </w:tr>
      <w:tr>
        <w:tc>
          <w:tcPr>
            <w:tcW w:type="dxa" w:w="23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IT Expenses Total (6405)</w:t>
            </w:r>
          </w:p>
        </w:tc>
        <w:tc>
          <w:tcPr>
            <w:tcW w:type="dxa" w:w="23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$95,795</w:t>
            </w:r>
          </w:p>
        </w:tc>
        <w:tc>
          <w:tcPr>
            <w:tcW w:type="dxa" w:w="23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$97,424</w:t>
            </w:r>
          </w:p>
        </w:tc>
        <w:tc>
          <w:tcPr>
            <w:tcW w:type="dxa" w:w="23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-1.7% vs. PY. Now 3.0% of tuition. Normal and healthy.</w:t>
            </w:r>
          </w:p>
        </w:tc>
      </w:tr>
    </w:tbl>
    <w:p>
      <w:pPr>
        <w:spacing w:after="80"/>
      </w:pPr>
    </w:p>
    <w:p>
      <w:pPr>
        <w:shd w:val="clear" w:color="auto" w:fill="FFF3CD"/>
        <w:spacing w:after="160"/>
        <w:ind w:left="144"/>
      </w:pPr>
      <w:r>
        <w:rPr>
          <w:rFonts w:ascii="Calibri" w:hAnsi="Calibri"/>
          <w:color w:val="7D5A00"/>
          <w:sz w:val="22"/>
        </w:rPr>
        <w:t>FTC Note: Spirit of Math’s Franchise Technology Charge (FTC) account 6201.1 shows $4,431 this year, compared to $23,182 last year. If Spirit of Math is still charging you FTC but your bookkeeper has not recorded it, booking those invoices would also count toward your 3% marketing obligation.</w:t>
      </w:r>
    </w:p>
    <w:p>
      <w:pPr>
        <w:spacing w:before="280" w:after="80"/>
      </w:pPr>
      <w:r>
        <w:rPr>
          <w:rFonts w:ascii="Calibri" w:hAnsi="Calibri"/>
          <w:b/>
          <w:color w:val="1F3896"/>
          <w:sz w:val="26"/>
        </w:rPr>
        <w:t>6.  Full Category Comparison — Summary at a Glance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All major spending categories for the current year and prior year. The PY-1 column from the QuickBooks file covers a 15.5-month period and cannot be compared directly to a YTD figure. It is marked as non-comparable.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76"/>
        <w:gridCol w:w="936"/>
        <w:gridCol w:w="648"/>
        <w:gridCol w:w="936"/>
        <w:gridCol w:w="648"/>
        <w:gridCol w:w="1584"/>
        <w:gridCol w:w="648"/>
        <w:gridCol w:w="1224"/>
      </w:tblGrid>
      <w:tr>
        <w:tc>
          <w:tcPr>
            <w:tcW w:type="dxa" w:w="117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Category</w:t>
            </w:r>
          </w:p>
        </w:tc>
        <w:tc>
          <w:tcPr>
            <w:tcW w:type="dxa" w:w="117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Curr. $</w:t>
            </w:r>
          </w:p>
        </w:tc>
        <w:tc>
          <w:tcPr>
            <w:tcW w:type="dxa" w:w="117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Curr. %</w:t>
            </w:r>
          </w:p>
        </w:tc>
        <w:tc>
          <w:tcPr>
            <w:tcW w:type="dxa" w:w="117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PY $</w:t>
            </w:r>
          </w:p>
        </w:tc>
        <w:tc>
          <w:tcPr>
            <w:tcW w:type="dxa" w:w="117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PY %</w:t>
            </w:r>
          </w:p>
        </w:tc>
        <w:tc>
          <w:tcPr>
            <w:tcW w:type="dxa" w:w="117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PY-1 Note</w:t>
            </w:r>
          </w:p>
        </w:tc>
        <w:tc>
          <w:tcPr>
            <w:tcW w:type="dxa" w:w="117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PY-1 %</w:t>
            </w:r>
          </w:p>
        </w:tc>
        <w:tc>
          <w:tcPr>
            <w:tcW w:type="dxa" w:w="117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CRA Risk</w:t>
            </w:r>
          </w:p>
        </w:tc>
      </w:tr>
      <w:tr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5200 Payroll (total)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$1,107,379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34.9%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$982,339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34.9%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(non-comparable</w:t>
              <w:br/>
              <w:t>period)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n/a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Low</w:t>
            </w:r>
          </w:p>
        </w:tc>
      </w:tr>
      <w:tr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5606 Campus Rent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$116,890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3.7%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$97,430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3.5%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(non-comparable</w:t>
              <w:br/>
              <w:t>period)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n/a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Low</w:t>
            </w:r>
          </w:p>
        </w:tc>
      </w:tr>
      <w:tr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5710 Royalty Fee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$289,628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9.1%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$259,461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9.2%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(non-comparable</w:t>
              <w:br/>
              <w:t>period)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n/a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Low</w:t>
            </w:r>
          </w:p>
        </w:tc>
      </w:tr>
      <w:tr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5780 Student Handouts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$139,253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4.4%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$66,904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2.4%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(non-comparable</w:t>
              <w:br/>
              <w:t>period)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n/a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8B0000"/>
                <w:sz w:val="22"/>
              </w:rPr>
              <w:t>HIGH</w:t>
            </w:r>
          </w:p>
        </w:tc>
      </w:tr>
      <w:tr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5100 Materials &amp; Supplies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$0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0.0%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$50,348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1.8%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(non-comparable</w:t>
              <w:br/>
              <w:t>period)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n/a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7D5A00"/>
                <w:sz w:val="22"/>
              </w:rPr>
              <w:t>Review</w:t>
            </w:r>
          </w:p>
        </w:tc>
      </w:tr>
      <w:tr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6200 Marketing (all)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$72,384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2.3%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$51,445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1.8%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(non-comparable</w:t>
              <w:br/>
              <w:t>period)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n/a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7D5A00"/>
                <w:sz w:val="22"/>
              </w:rPr>
              <w:t>Below oblig.</w:t>
            </w:r>
          </w:p>
        </w:tc>
      </w:tr>
      <w:tr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 xml:space="preserve">  incl. FTC (6201.1)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$4,431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0.1%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$23,182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0.8%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(non-comparable</w:t>
              <w:br/>
              <w:t>period)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n/a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Low (down)</w:t>
            </w:r>
          </w:p>
        </w:tc>
      </w:tr>
      <w:tr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 xml:space="preserve">  incl. Online (6208)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$15,582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0.5%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$2,681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0.1%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(non-comparable</w:t>
              <w:br/>
              <w:t>period)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n/a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8B0000"/>
                <w:sz w:val="22"/>
              </w:rPr>
              <w:t>HIGH</w:t>
            </w:r>
          </w:p>
        </w:tc>
      </w:tr>
      <w:tr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 xml:space="preserve">  incl. Mktg Wages (62010)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$24,000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0.8%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$0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0.0%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(non-comparable</w:t>
              <w:br/>
              <w:t>period)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n/a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7D5A00"/>
                <w:sz w:val="22"/>
              </w:rPr>
              <w:t>New</w:t>
            </w:r>
          </w:p>
        </w:tc>
      </w:tr>
      <w:tr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6405 IT Expenses (total)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$95,795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3.0%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$97,424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3.5%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(non-comparable</w:t>
              <w:br/>
              <w:t>period)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n/a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Low</w:t>
            </w:r>
          </w:p>
        </w:tc>
      </w:tr>
      <w:tr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6420 Finance Charges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$26,195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0.8%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$30,543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1.1%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(non-comparable</w:t>
              <w:br/>
              <w:t>period)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n/a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Low (down)</w:t>
            </w:r>
          </w:p>
        </w:tc>
      </w:tr>
      <w:tr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 xml:space="preserve">  Merchant Svcs (6427)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$21,991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0.7%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$28,819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1.0%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(non-comparable</w:t>
              <w:br/>
              <w:t>period)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n/a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Low (down)</w:t>
            </w:r>
          </w:p>
        </w:tc>
      </w:tr>
      <w:tr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6600 Insurance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$20,759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0.7%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$12,113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0.4%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(non-comparable</w:t>
              <w:br/>
              <w:t>period)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n/a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8B0000"/>
                <w:sz w:val="22"/>
              </w:rPr>
              <w:t>HIGH</w:t>
            </w:r>
          </w:p>
        </w:tc>
      </w:tr>
      <w:tr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6602 Cleaning Service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$5,565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0.2%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$6,462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0.2%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(non-comparable</w:t>
              <w:br/>
              <w:t>period)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n/a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Low</w:t>
            </w:r>
          </w:p>
        </w:tc>
      </w:tr>
      <w:tr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6715 Repairs &amp; Maintenance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$2,689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0.1%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$23,231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0.8%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(non-comparable</w:t>
              <w:br/>
              <w:t>period)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n/a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Low (down)</w:t>
            </w:r>
          </w:p>
        </w:tc>
      </w:tr>
      <w:tr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6401 Office/Campus Expenses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$13,342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0.4%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$20,962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0.7%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(non-comparable</w:t>
              <w:br/>
              <w:t>period)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n/a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Low (down)</w:t>
            </w:r>
          </w:p>
        </w:tc>
      </w:tr>
      <w:tr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6110 Professional Fees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$14,466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0.5%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$9,555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0.3%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(non-comparable</w:t>
              <w:br/>
              <w:t>period)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n/a</w:t>
            </w:r>
          </w:p>
        </w:tc>
        <w:tc>
          <w:tcPr>
            <w:tcW w:type="dxa" w:w="117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8B0000"/>
                <w:sz w:val="22"/>
              </w:rPr>
              <w:t>HIGH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/>
          <w:i/>
          <w:color w:val="606060"/>
          <w:sz w:val="19"/>
        </w:rPr>
        <w:t>Percentages are expressed as % of gross tuition (account 4100). Current YTD = Aug 1–April 2, 2026. PY-1 column from source file covers Aug 2023–Nov 2024 (15.5 months) — cannot be used for YTD comparison.</w:t>
      </w:r>
    </w:p>
    <w:p>
      <w:pPr>
        <w:spacing w:before="280" w:after="80"/>
      </w:pPr>
      <w:r>
        <w:rPr>
          <w:rFonts w:ascii="Calibri" w:hAnsi="Calibri"/>
          <w:b/>
          <w:color w:val="1F3896"/>
          <w:sz w:val="26"/>
        </w:rPr>
        <w:t>7.  Your Action Checklist — What To Do Before July 31, 2026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Here is a simple checklist of actions to take to reduce your CRA risk and keep your records clean.</w:t>
      </w:r>
    </w:p>
    <w:p>
      <w:pPr>
        <w:pStyle w:val="ListNumber"/>
        <w:spacing w:after="120"/>
      </w:pPr>
      <w:r>
        <w:rPr>
          <w:rFonts w:ascii="Calibri" w:hAnsi="Calibri"/>
          <w:b/>
          <w:sz w:val="22"/>
        </w:rPr>
        <w:t xml:space="preserve">URGENT: Document every Student Handout purchase  </w:t>
      </w:r>
      <w:r>
        <w:rPr>
          <w:rFonts w:ascii="Calibri" w:hAnsi="Calibri"/>
          <w:sz w:val="22"/>
        </w:rPr>
        <w:t>Pull all entries from account 5780. Confirm each has a supplier invoice. On track for ~$208,468 full-year — your highest CRA risk this year. Write a memo explaining the increase (e.g., new curriculum, ~950 students, price increases).</w:t>
      </w:r>
    </w:p>
    <w:p>
      <w:pPr>
        <w:pStyle w:val="ListNumber"/>
        <w:spacing w:after="120"/>
      </w:pPr>
      <w:r>
        <w:rPr>
          <w:rFonts w:ascii="Calibri" w:hAnsi="Calibri"/>
          <w:b/>
          <w:sz w:val="22"/>
        </w:rPr>
        <w:t xml:space="preserve">URGENT: Locate your insurance policy documents  </w:t>
      </w:r>
      <w:r>
        <w:rPr>
          <w:rFonts w:ascii="Calibri" w:hAnsi="Calibri"/>
          <w:sz w:val="22"/>
        </w:rPr>
        <w:t>Find the insurance policy (or policies) that explain the $20,759 spent so far. Keep the premium invoice and certificate of insurance. Ask Tang &amp; Partners whether any portion crosses the July 31 year-end and needs to be treated as prepaid insurance.</w:t>
      </w:r>
    </w:p>
    <w:p>
      <w:pPr>
        <w:pStyle w:val="ListNumber"/>
        <w:spacing w:after="120"/>
      </w:pPr>
      <w:r>
        <w:rPr>
          <w:rFonts w:ascii="Calibri" w:hAnsi="Calibri"/>
          <w:b/>
          <w:sz w:val="22"/>
        </w:rPr>
        <w:t xml:space="preserve">Document the Marketing Wages (account 62010)  </w:t>
      </w:r>
      <w:r>
        <w:rPr>
          <w:rFonts w:ascii="Calibri" w:hAnsi="Calibri"/>
          <w:sz w:val="22"/>
        </w:rPr>
        <w:t>Write a brief memo describing the employee’s marketing role. Keep their job description or offer letter. Confirm with Tang &amp; Partners whether $24,000 qualifies under the franchise’s 3% marketing obligation definition.</w:t>
      </w:r>
    </w:p>
    <w:p>
      <w:pPr>
        <w:pStyle w:val="ListNumber"/>
        <w:spacing w:after="120"/>
      </w:pPr>
      <w:r>
        <w:rPr>
          <w:rFonts w:ascii="Calibri" w:hAnsi="Calibri"/>
          <w:b/>
          <w:sz w:val="22"/>
        </w:rPr>
        <w:t xml:space="preserve">Confirm with bookkeeper: Where did account 5100 go?  </w:t>
      </w:r>
      <w:r>
        <w:rPr>
          <w:rFonts w:ascii="Calibri" w:hAnsi="Calibri"/>
          <w:sz w:val="22"/>
        </w:rPr>
        <w:t>Last year $50,348 went through account 5100. This year it shows $0. Find out where these costs are being recorded this year.</w:t>
      </w:r>
    </w:p>
    <w:p>
      <w:pPr>
        <w:pStyle w:val="ListNumber"/>
        <w:spacing w:after="120"/>
      </w:pPr>
      <w:r>
        <w:rPr>
          <w:rFonts w:ascii="Calibri" w:hAnsi="Calibri"/>
          <w:b/>
          <w:sz w:val="22"/>
        </w:rPr>
        <w:t xml:space="preserve">Check FTC charges (6201.1) with Spirit of Math  </w:t>
      </w:r>
      <w:r>
        <w:rPr>
          <w:rFonts w:ascii="Calibri" w:hAnsi="Calibri"/>
          <w:sz w:val="22"/>
        </w:rPr>
        <w:t>This account shows $4,431 this year vs. $23,182 last year. If Spirit of Math is issuing FTC invoices, record them — they count toward your 3% marketing obligation and reduce taxable income.</w:t>
      </w:r>
    </w:p>
    <w:p>
      <w:pPr>
        <w:pStyle w:val="ListNumber"/>
        <w:spacing w:after="120"/>
      </w:pPr>
      <w:r>
        <w:rPr>
          <w:rFonts w:ascii="Calibri" w:hAnsi="Calibri"/>
          <w:b/>
          <w:sz w:val="22"/>
        </w:rPr>
        <w:t xml:space="preserve">Keep records for online marketing and event space rental  </w:t>
      </w:r>
      <w:r>
        <w:rPr>
          <w:rFonts w:ascii="Calibri" w:hAnsi="Calibri"/>
          <w:sz w:val="22"/>
        </w:rPr>
        <w:t>Keep platform receipts (Google Ads, Facebook, etc.) and venue invoices for every marketing event.</w:t>
      </w:r>
    </w:p>
    <w:p>
      <w:pPr>
        <w:pStyle w:val="ListNumber"/>
        <w:spacing w:after="120"/>
      </w:pPr>
      <w:r>
        <w:rPr>
          <w:rFonts w:ascii="Calibri" w:hAnsi="Calibri"/>
          <w:b/>
          <w:sz w:val="22"/>
        </w:rPr>
        <w:t xml:space="preserve">Ask Tang &amp; Partners about the SBD limit before filing  </w:t>
      </w:r>
      <w:r>
        <w:rPr>
          <w:rFonts w:ascii="Calibri" w:hAnsi="Calibri"/>
          <w:sz w:val="22"/>
        </w:rPr>
        <w:t>Your FY2024-25 T2 showed a $300,000 Small Business Deduction limit. Ask about this before year-end.</w:t>
      </w:r>
    </w:p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1F3896"/>
          <w:sz w:val="26"/>
        </w:rPr>
        <w:t>8.  The Bottom Line — Plain and Simple</w:t>
      </w:r>
    </w:p>
    <w:p>
      <w:pPr>
        <w:pStyle w:val="ListNumber"/>
        <w:spacing w:after="100"/>
      </w:pPr>
      <w:r>
        <w:rPr>
          <w:rFonts w:ascii="Calibri" w:hAnsi="Calibri"/>
          <w:b/>
          <w:sz w:val="22"/>
        </w:rPr>
        <w:t>Two categories are genuinely out of proportion this year.</w:t>
      </w:r>
      <w:r>
        <w:rPr>
          <w:rFonts w:ascii="Calibri" w:hAnsi="Calibri"/>
          <w:sz w:val="22"/>
        </w:rPr>
        <w:t xml:space="preserve">  Student Handouts +108.1% and are on track for ~$208,468 full-year — about 2.1x the 3-year average. Insurance is already 6.8x the annual average with 3.9 months still to go. Make sure you have a clear paper trail for both.</w:t>
      </w:r>
    </w:p>
    <w:p>
      <w:pPr>
        <w:pStyle w:val="ListNumber"/>
        <w:spacing w:after="100"/>
      </w:pPr>
      <w:r>
        <w:rPr>
          <w:rFonts w:ascii="Calibri" w:hAnsi="Calibri"/>
          <w:b/>
          <w:sz w:val="22"/>
        </w:rPr>
        <w:t>Everything else is either within normal range or moving in the right direction.</w:t>
      </w:r>
      <w:r>
        <w:rPr>
          <w:rFonts w:ascii="Calibri" w:hAnsi="Calibri"/>
          <w:sz w:val="22"/>
        </w:rPr>
        <w:t xml:space="preserve">  IT costs are stable. Payroll as a percentage of revenue is within the normal band. Merchant service fees and repairs are both down significantly — that is fine.</w:t>
      </w:r>
    </w:p>
    <w:p>
      <w:pPr>
        <w:pStyle w:val="ListNumber"/>
        <w:spacing w:after="100"/>
      </w:pPr>
      <w:r>
        <w:rPr>
          <w:rFonts w:ascii="Calibri" w:hAnsi="Calibri"/>
          <w:b/>
          <w:sz w:val="22"/>
        </w:rPr>
        <w:t>The biggest internal issue is bookkeeping consistency.</w:t>
      </w:r>
      <w:r>
        <w:rPr>
          <w:rFonts w:ascii="Calibri" w:hAnsi="Calibri"/>
          <w:sz w:val="22"/>
        </w:rPr>
        <w:t xml:space="preserve">  Some accounts that had significant spend last year now show $0 (Materials 5100: $0, Employee Benefits 5215: $0, FTC 6201.1: $4,431). A consistent chart of accounts makes your records cleaner for an audit.</w:t>
      </w:r>
    </w:p>
    <w:p>
      <w:pPr>
        <w:pStyle w:val="ListNumber"/>
        <w:spacing w:after="100"/>
      </w:pPr>
      <w:r>
        <w:rPr>
          <w:rFonts w:ascii="Calibri" w:hAnsi="Calibri"/>
          <w:b/>
          <w:sz w:val="22"/>
        </w:rPr>
        <w:t>Your marketing spend is below the 3% obligation — fix this before July 31.</w:t>
      </w:r>
      <w:r>
        <w:rPr>
          <w:rFonts w:ascii="Calibri" w:hAnsi="Calibri"/>
          <w:sz w:val="22"/>
        </w:rPr>
        <w:t xml:space="preserve">  See the Task #1 marketing report. You must spend more on marketing before July 31, 2026.</w:t>
      </w:r>
    </w:p>
    <w:p>
      <w:pPr>
        <w:pStyle w:val="ListNumber"/>
        <w:spacing w:after="100"/>
      </w:pPr>
      <w:r>
        <w:rPr>
          <w:rFonts w:ascii="Calibri" w:hAnsi="Calibri"/>
          <w:b/>
          <w:sz w:val="22"/>
        </w:rPr>
        <w:t>Share this report with Tang &amp; Partners before your T2 is filed.</w:t>
      </w:r>
      <w:r>
        <w:rPr>
          <w:rFonts w:ascii="Calibri" w:hAnsi="Calibri"/>
          <w:sz w:val="22"/>
        </w:rPr>
        <w:t xml:space="preserve">  Walk them through the Student Handouts and Insurance increases so they are prepared to answer CRA questions if the return is reviewed.</w:t>
      </w:r>
    </w:p>
    <w:p>
      <w:pPr>
        <w:spacing w:after="120"/>
      </w:pPr>
    </w:p>
    <w:p>
      <w:pPr>
        <w:spacing w:after="80"/>
      </w:pPr>
      <w:r>
        <w:rPr>
          <w:rFonts w:ascii="Calibri" w:hAnsi="Calibri"/>
          <w:i/>
          <w:color w:val="606060"/>
          <w:sz w:val="19"/>
        </w:rPr>
        <w:t>Disclaimer: This report is based on QuickBooks YTD data (Aug 1–April 2, 2026), the 3-year aggregate P⁖L (Aug 2022–Jul 2025), and the FY2024-25 audited financials. It is an analytical review, not professional tax or legal advice. Share all findings with Tang &amp; Partners LLP (416-987-6005 / thomas@tang.ca) before making decisions.</w:t>
      </w:r>
    </w:p>
    <w:sectPr w:rsidR="00FC693F" w:rsidRPr="0006063C" w:rsidSect="00034616">
      <w:pgSz w:w="12240" w:h="15840"/>
      <w:pgMar w:top="1134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