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F3896"/>
          <w:sz w:val="36"/>
        </w:rPr>
        <w:t>Deviation Report</w:t>
      </w:r>
    </w:p>
    <w:p>
      <w:pPr>
        <w:spacing w:after="40"/>
      </w:pPr>
      <w:r>
        <w:rPr>
          <w:rFonts w:ascii="Calibri" w:hAnsi="Calibri"/>
          <w:i/>
          <w:sz w:val="24"/>
        </w:rPr>
        <w:t>Spirit of Math Schools Vaughan  |  2236262 Ontario Inc.</w:t>
      </w:r>
    </w:p>
    <w:p>
      <w:pPr>
        <w:spacing w:after="40"/>
      </w:pPr>
      <w:r>
        <w:rPr>
          <w:rFonts w:ascii="Calibri" w:hAnsi="Calibri"/>
          <w:i/>
          <w:color w:val="606060"/>
          <w:sz w:val="20"/>
        </w:rPr>
        <w:t>Report Date: April 09, 2026   |   Fiscal Year: August 1, 2025 – July 31, 2026</w:t>
      </w:r>
    </w:p>
    <w:p>
      <w:pPr>
        <w:spacing w:after="120"/>
      </w:pPr>
      <w:r>
        <w:rPr>
          <w:rFonts w:ascii="Calibri" w:hAnsi="Calibri"/>
          <w:i/>
          <w:color w:val="606060"/>
          <w:sz w:val="19"/>
        </w:rPr>
        <w:t>QuickBooks data through April 9, 2026</w:t>
      </w:r>
    </w:p>
    <w:p>
      <w:pPr>
        <w:pBdr>
          <w:bottom w:val="single" w:sz="6" w:space="1" w:color="999999"/>
        </w:pBd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1. Main Message</w:t>
      </w:r>
    </w:p>
    <w:p>
      <w:pPr>
        <w:shd w:val="clear" w:color="auto" w:fill="E8F0FE"/>
        <w:spacing w:after="160"/>
        <w:ind w:left="144"/>
      </w:pPr>
      <w:r>
        <w:rPr>
          <w:rFonts w:ascii="Calibri" w:hAnsi="Calibri"/>
          <w:color w:val="1F3896"/>
          <w:sz w:val="22"/>
        </w:rPr>
        <w:t>The books are not alarming, but a few lines need explanation. Revenue is $2,094,169 this year versus $1,980,415 last year. Marketing is $51,131 this year versus $32,326 last year.</w:t>
      </w:r>
    </w:p>
    <w:p>
      <w:pPr>
        <w:shd w:val="clear" w:color="auto" w:fill="FDECEA"/>
        <w:spacing w:after="160"/>
        <w:ind w:left="144"/>
      </w:pPr>
      <w:r>
        <w:rPr>
          <w:rFonts w:ascii="Calibri" w:hAnsi="Calibri"/>
          <w:color w:val="8B0000"/>
          <w:sz w:val="22"/>
        </w:rPr>
        <w:t>The main review items are Student Handouts, Service Fee 5711, and Automobile costs. The balancing low items are Materials and Supplies, IT Expense total, and Office/Campus Expenses.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2. Items to Notice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68"/>
        <w:gridCol w:w="1296"/>
        <w:gridCol w:w="1296"/>
        <w:gridCol w:w="1296"/>
        <w:gridCol w:w="1296"/>
        <w:gridCol w:w="1872"/>
      </w:tblGrid>
      <w:tr>
        <w:tc>
          <w:tcPr>
            <w:tcW w:type="dxa" w:w="156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Category</w:t>
            </w:r>
          </w:p>
        </w:tc>
        <w:tc>
          <w:tcPr>
            <w:tcW w:type="dxa" w:w="156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Now</w:t>
            </w:r>
          </w:p>
        </w:tc>
        <w:tc>
          <w:tcPr>
            <w:tcW w:type="dxa" w:w="156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Last Year</w:t>
            </w:r>
          </w:p>
        </w:tc>
        <w:tc>
          <w:tcPr>
            <w:tcW w:type="dxa" w:w="156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$ Change</w:t>
            </w:r>
          </w:p>
        </w:tc>
        <w:tc>
          <w:tcPr>
            <w:tcW w:type="dxa" w:w="156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% Change</w:t>
            </w:r>
          </w:p>
        </w:tc>
        <w:tc>
          <w:tcPr>
            <w:tcW w:type="dxa" w:w="156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Why it matters</w:t>
            </w:r>
          </w:p>
        </w:tc>
      </w:tr>
      <w:tr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Student Handouts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$117,860.05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$45,185.45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$72,674.60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+160.8%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Needs explanation</w:t>
            </w:r>
          </w:p>
        </w:tc>
      </w:tr>
      <w:tr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Service Fee 5711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$61,129.84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$0.00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$61,129.84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New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Needs explanation</w:t>
            </w:r>
          </w:p>
        </w:tc>
      </w:tr>
      <w:tr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Automobile costs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$8,963.48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$3,873.09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$5,090.39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+131.4%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Needs explanation</w:t>
            </w:r>
          </w:p>
        </w:tc>
      </w:tr>
      <w:tr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Materials and Supplies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$997.13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$2,555.60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$1,558.47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-61.0%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Gives balance</w:t>
            </w:r>
          </w:p>
        </w:tc>
      </w:tr>
      <w:tr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IT Expense total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$41,996.55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$73,189.56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$31,193.01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-42.6%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Gives balance</w:t>
            </w:r>
          </w:p>
        </w:tc>
      </w:tr>
      <w:tr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Office/Campus Expenses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$14,288.61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$27,043.37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$12,754.76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-47.2%</w:t>
            </w:r>
          </w:p>
        </w:tc>
        <w:tc>
          <w:tcPr>
            <w:tcW w:type="dxa" w:w="156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Gives balance</w:t>
            </w:r>
          </w:p>
        </w:tc>
      </w:tr>
    </w:tbl>
    <w:p>
      <w:pPr>
        <w:spacing w:after="120" w:before="0"/>
      </w:pPr>
      <w:r>
        <w:rPr>
          <w:rFonts w:ascii="Calibri" w:hAnsi="Calibri"/>
          <w:b w:val="0"/>
          <w:sz w:val="22"/>
        </w:rPr>
        <w:t>Student Handouts are $117,860 now versus $45,185 last year. Service Fee 5711 is $61,130 this year and was $0 last year.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Service Fee 5711 has been identified as a new franchisor charge. It should still be confirmed with the accountant for correct accounting and tax treatment.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3. What To Do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Keep a simple explanation for each higher item.  </w:t>
      </w:r>
      <w:r>
        <w:rPr>
          <w:rFonts w:ascii="Calibri" w:hAnsi="Calibri"/>
          <w:sz w:val="22"/>
        </w:rPr>
        <w:t>If CRA or the accountant asks, you should be able to explain the business reason in one or two lines.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Do not only focus on high items.  </w:t>
      </w:r>
      <w:r>
        <w:rPr>
          <w:rFonts w:ascii="Calibri" w:hAnsi="Calibri"/>
          <w:sz w:val="22"/>
        </w:rPr>
        <w:t>The lower categories matter too because they help show overall balance in the books.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Confirm new or unusual lines.  </w:t>
      </w:r>
      <w:r>
        <w:rPr>
          <w:rFonts w:ascii="Calibri" w:hAnsi="Calibri"/>
          <w:sz w:val="22"/>
        </w:rPr>
        <w:t>Service Fee 5711 and any personal-looking items should be checked before year-end.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4. Bottom Line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This report is for explanation and cleanup, not panic. A few items are clearly higher, a few are clearly lower, and both should be understood before the year is closed.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Based on QuickBooks data through April 9, 2026. Key validation numbers include tuition $2,094,168.52, marketing $51,130.66, student handouts $117,860.05, and Service Fee 5711 $61,129.84.</w:t>
      </w:r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