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Deviation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10, 2026   |   Fiscal Year: August 1, 2025 -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Main Message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The books are not alarming, but a few lines need explanation. Revenue is $2,094,169 this year versus $1,980,415 last year. Marketing is $51,131 this year versus $32,326 last year.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The main review items are Student Handouts, Service Fee 5711, and Automobile costs. The balancing low items are Materials and Supplies, IT Expense total, and Office/Campus Expenses.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Items to Notice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1296"/>
        <w:gridCol w:w="1296"/>
        <w:gridCol w:w="1296"/>
        <w:gridCol w:w="1296"/>
        <w:gridCol w:w="1872"/>
      </w:tblGrid>
      <w:tr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Now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Last Year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 Change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% Change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Why it matters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Student Handouts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$117,860.05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$45,185.45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$72,674.60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+160.8%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Needs explanation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Service Fee 5711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$61,129.84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$61,129.84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New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Needs explanation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Automobile costs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$8,963.48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$3,873.09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$5,090.39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+131.4%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Needs explanation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Materials and Supplies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$997.13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$2,555.60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$1,558.47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-61.0%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Gives balance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IT Expense total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$41,996.55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$73,189.56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$31,193.01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-42.6%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Gives balance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Office/Campus Expenses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$14,288.61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$27,043.37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$12,754.76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-47.2%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Gives balance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sz w:val="22"/>
        </w:rPr>
        <w:t>Student Handouts are $117,860 now versus $45,185 last year. Service Fee 5711 is $61,130 this year and was $0 last year.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Service Fee 5711 has been identified as a new franchisor charge. It should still be confirmed with the accountant for correct accounting and tax treatment.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a simple explanation for each higher item.  </w:t>
      </w:r>
      <w:r>
        <w:rPr>
          <w:rFonts w:ascii="Calibri" w:hAnsi="Calibri"/>
          <w:sz w:val="22"/>
        </w:rPr>
        <w:t>If CRA or the accountant asks, you should be able to explain the business reason in one or two lines.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Do not only focus on high items.  </w:t>
      </w:r>
      <w:r>
        <w:rPr>
          <w:rFonts w:ascii="Calibri" w:hAnsi="Calibri"/>
          <w:sz w:val="22"/>
        </w:rPr>
        <w:t>The lower categories matter too because they help show overall balance in the books.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Confirm new or unusual lines.  </w:t>
      </w:r>
      <w:r>
        <w:rPr>
          <w:rFonts w:ascii="Calibri" w:hAnsi="Calibri"/>
          <w:sz w:val="22"/>
        </w:rPr>
        <w:t>Service Fee 5711 and any personal-looking items should be checked before year-end.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report is for explanation and cleanup, not panic. A few items are clearly higher, a few are clearly lower, and both should be understood before the year is closed.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data through April 9, 2026. Key validation numbers include tuition $2,094,168.52, marketing $51,130.66, student handouts $117,860.05, and Service Fee 5711 $61,129.84.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