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A1A1A"/>
          <w:sz w:val="36"/>
        </w:rPr>
        <w:t>Marketing Report</w:t>
      </w:r>
    </w:p>
    <w:p>
      <w:pPr>
        <w:spacing w:after="160"/>
      </w:pPr>
      <w:r>
        <w:rPr>
          <w:rFonts w:ascii="Calibri" w:hAnsi="Calibri"/>
          <w:i/>
          <w:color w:val="5C5C5C"/>
          <w:sz w:val="19"/>
        </w:rPr>
        <w:t>Spirit of Math Schools Vaughan | Report date 2026-04-10 | Data through April 9, 2026</w:t>
      </w:r>
    </w:p>
    <w:p>
      <w:pPr>
        <w:shd w:val="clear" w:color="auto" w:fill="E8F0FE"/>
        <w:spacing w:after="160"/>
        <w:ind w:left="115"/>
      </w:pPr>
      <w:r>
        <w:rPr>
          <w:rFonts w:ascii="Calibri" w:hAnsi="Calibri"/>
          <w:b/>
          <w:color w:val="1F3896"/>
          <w:sz w:val="22"/>
        </w:rPr>
        <w:t xml:space="preserve">Main Answer  </w:t>
      </w:r>
      <w:r>
        <w:rPr>
          <w:rFonts w:ascii="Calibri" w:hAnsi="Calibri"/>
          <w:color w:val="1F3896"/>
          <w:sz w:val="22"/>
        </w:rPr>
        <w:t>Vaughan is behind the required local marketing spend. Based on tuition through April 9, 2026, the school has spent about $51,131 versus a current requirement of about $62,825, with a projected year-end gap of about $13,528 if the current pattern continues.</w:t>
      </w:r>
    </w:p>
    <w:p>
      <w:r>
        <w:rPr>
          <w:rFonts w:ascii="Calibri" w:hAnsi="Calibri"/>
          <w:b/>
          <w:sz w:val="25"/>
        </w:rPr>
        <w:t>Numbers To Know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AD3"/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Item</w:t>
            </w:r>
          </w:p>
        </w:tc>
        <w:tc>
          <w:tcPr>
            <w:tcW w:type="dxa" w:w="4986"/>
            <w:shd w:val="clear" w:color="auto" w:fill="D9EAD3"/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Value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Marketing spent so far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$51,131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Required spend so far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$62,825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Projected full-year requirement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$64,659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Projected remaining gap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$13,528</w:t>
            </w:r>
          </w:p>
        </w:tc>
      </w:tr>
    </w:tbl>
    <w:p>
      <w:pPr>
        <w:shd w:val="clear" w:color="auto" w:fill="FDECEA"/>
        <w:spacing w:after="160"/>
        <w:ind w:left="115"/>
      </w:pPr>
      <w:r>
        <w:rPr>
          <w:rFonts w:ascii="Calibri" w:hAnsi="Calibri"/>
          <w:b/>
          <w:color w:val="8B0000"/>
          <w:sz w:val="22"/>
        </w:rPr>
        <w:t xml:space="preserve">Watch  </w:t>
      </w:r>
      <w:r>
        <w:rPr>
          <w:rFonts w:ascii="Calibri" w:hAnsi="Calibri"/>
          <w:color w:val="8B0000"/>
          <w:sz w:val="22"/>
        </w:rPr>
        <w:t>Do not count account 5711 Service Fee toward the 3% requirement unless it is clearly confirmed as eligible | Keep invoices and proof of payment for all marketing spend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What I See</w:t>
      </w:r>
    </w:p>
    <w:p>
      <w:pPr>
        <w:pStyle w:val="ListBullet"/>
      </w:pPr>
      <w:r>
        <w:rPr>
          <w:rFonts w:ascii="Calibri" w:hAnsi="Calibri"/>
          <w:sz w:val="21"/>
        </w:rPr>
        <w:t>Tuition is up about 5.7% year over year, but eligible marketing spend is still below the franchise requirement.</w:t>
      </w:r>
    </w:p>
    <w:p>
      <w:pPr>
        <w:pStyle w:val="ListBullet"/>
      </w:pPr>
      <w:r>
        <w:rPr>
          <w:rFonts w:ascii="Calibri" w:hAnsi="Calibri"/>
          <w:sz w:val="21"/>
        </w:rPr>
        <w:t>Marketing spend is up about 58.2% from last year, so activity increased, but not enough to fully close the gap.</w:t>
      </w:r>
    </w:p>
    <w:p>
      <w:pPr>
        <w:pStyle w:val="ListBullet"/>
      </w:pPr>
      <w:r>
        <w:rPr>
          <w:rFonts w:ascii="Calibri" w:hAnsi="Calibri"/>
          <w:sz w:val="21"/>
        </w:rPr>
        <w:t>FTC is present at about $2,134, so the issue is not zero activity. The issue is total eligible spend still being too low.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What This Means for You</w:t>
      </w:r>
    </w:p>
    <w:p>
      <w:pPr>
        <w:pStyle w:val="ListBullet"/>
      </w:pPr>
      <w:r>
        <w:rPr>
          <w:rFonts w:ascii="Calibri" w:hAnsi="Calibri"/>
          <w:sz w:val="21"/>
        </w:rPr>
        <w:t>The school does not look like it has met the 3% local marketing obligation yet.</w:t>
      </w:r>
    </w:p>
    <w:p>
      <w:pPr>
        <w:pStyle w:val="ListBullet"/>
      </w:pPr>
      <w:r>
        <w:rPr>
          <w:rFonts w:ascii="Calibri" w:hAnsi="Calibri"/>
          <w:sz w:val="21"/>
        </w:rPr>
        <w:t>This is manageable, but it needs action before July 31, 2026 rather than waiting until year-end.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What To Do Next</w:t>
      </w:r>
    </w:p>
    <w:p>
      <w:pPr>
        <w:pStyle w:val="ListBullet"/>
      </w:pPr>
      <w:r>
        <w:rPr>
          <w:rFonts w:ascii="Calibri" w:hAnsi="Calibri"/>
          <w:sz w:val="21"/>
        </w:rPr>
        <w:t>Plan roughly another $14,000 of clearly eligible local marketing before fiscal year-end.</w:t>
      </w:r>
    </w:p>
    <w:p>
      <w:pPr>
        <w:pStyle w:val="ListBullet"/>
      </w:pPr>
      <w:r>
        <w:rPr>
          <w:rFonts w:ascii="Calibri" w:hAnsi="Calibri"/>
          <w:sz w:val="21"/>
        </w:rPr>
        <w:t>Keep clean support for each item so there is no argument later about whether it qualifies.</w:t>
      </w:r>
    </w:p>
    <w:p>
      <w:pPr>
        <w:pStyle w:val="ListBullet"/>
      </w:pPr>
      <w:r>
        <w:rPr>
          <w:rFonts w:ascii="Calibri" w:hAnsi="Calibri"/>
          <w:sz w:val="21"/>
        </w:rPr>
        <w:t>Confirm with Tang &amp; Partners or the franchisor if any borderline item is being considered as eligible marketing.</w:t>
      </w:r>
    </w:p>
    <w:p>
      <w:pPr>
        <w:shd w:val="clear" w:color="auto" w:fill="EAF4EA"/>
        <w:spacing w:after="160"/>
        <w:ind w:left="115"/>
      </w:pPr>
      <w:r>
        <w:rPr>
          <w:rFonts w:ascii="Calibri" w:hAnsi="Calibri"/>
          <w:b/>
          <w:color w:val="1A5C1A"/>
          <w:sz w:val="22"/>
        </w:rPr>
        <w:t xml:space="preserve">Bottom Line  </w:t>
      </w:r>
      <w:r>
        <w:rPr>
          <w:rFonts w:ascii="Calibri" w:hAnsi="Calibri"/>
          <w:color w:val="1A5C1A"/>
          <w:sz w:val="22"/>
        </w:rPr>
        <w:t>Marketing exists and has increased, but the total still appears short of the required level. The practical target is to add about $14,000 of clearly eligible local marketing before July 31, 2026.</w:t>
      </w:r>
    </w:p>
    <w:p>
      <w:r>
        <w:rPr>
          <w:rFonts w:ascii="Calibri" w:hAnsi="Calibri"/>
          <w:i/>
          <w:color w:val="6A6A6A"/>
          <w:sz w:val="18"/>
        </w:rPr>
        <w:t>Prepared in a live Codex session. Python handled extraction and formatting; the report judgment was made during the chat review.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