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1A1A"/>
          <w:sz w:val="36"/>
        </w:rPr>
        <w:t>Tax Report</w:t>
      </w:r>
    </w:p>
    <w:p>
      <w:pPr>
        <w:spacing w:after="160"/>
      </w:pPr>
      <w:r>
        <w:rPr>
          <w:rFonts w:ascii="Calibri" w:hAnsi="Calibri"/>
          <w:i/>
          <w:color w:val="5C5C5C"/>
          <w:sz w:val="19"/>
        </w:rPr>
        <w:t>Spirit of Math Schools Vaughan | Report date 2026-04-10 | Data through April 9, 2026</w:t>
      </w:r>
    </w:p>
    <w:p>
      <w:pPr>
        <w:shd w:val="clear" w:color="auto" w:fill="E8F0FE"/>
        <w:spacing w:after="160"/>
        <w:ind w:left="115"/>
      </w:pPr>
      <w:r>
        <w:rPr>
          <w:rFonts w:ascii="Calibri" w:hAnsi="Calibri"/>
          <w:b/>
          <w:color w:val="1F3896"/>
          <w:sz w:val="22"/>
        </w:rPr>
        <w:t xml:space="preserve">Main Answer  </w:t>
      </w:r>
      <w:r>
        <w:rPr>
          <w:rFonts w:ascii="Calibri" w:hAnsi="Calibri"/>
          <w:color w:val="1F3896"/>
          <w:sz w:val="22"/>
        </w:rPr>
        <w:t>The current evidence supports a meaningful corporate tax bill, not a low one. Using the current QuickBooks position together with the prior-year archived tax outcome, the best planning estimate is about $72,000 of total corporate tax for the fiscal year, with a rough range of about $67,000 to $76,000.</w:t>
      </w:r>
    </w:p>
    <w:p>
      <w:r>
        <w:rPr>
          <w:rFonts w:ascii="Calibri" w:hAnsi="Calibri"/>
          <w:b/>
          <w:sz w:val="25"/>
        </w:rPr>
        <w:t>Numbers To Know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Item</w:t>
            </w:r>
          </w:p>
        </w:tc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Value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QB profit through April 9, 2026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$631,347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Current pre-tax proxy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$731,968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Expected total corporate tax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$72,000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Working range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$67,000 to $76,000</w:t>
            </w:r>
          </w:p>
        </w:tc>
      </w:tr>
    </w:tbl>
    <w:p>
      <w:pPr>
        <w:shd w:val="clear" w:color="auto" w:fill="FDECEA"/>
        <w:spacing w:after="160"/>
        <w:ind w:left="115"/>
      </w:pPr>
      <w:r>
        <w:rPr>
          <w:rFonts w:ascii="Calibri" w:hAnsi="Calibri"/>
          <w:b/>
          <w:color w:val="8B0000"/>
          <w:sz w:val="22"/>
        </w:rPr>
        <w:t xml:space="preserve">Watch  </w:t>
      </w:r>
      <w:r>
        <w:rPr>
          <w:rFonts w:ascii="Calibri" w:hAnsi="Calibri"/>
          <w:color w:val="8B0000"/>
          <w:sz w:val="22"/>
        </w:rPr>
        <w:t>The project files do not prove installment payment status | Service Fee 5711 deductibility still needs confirmation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I See</w:t>
      </w:r>
    </w:p>
    <w:p>
      <w:pPr>
        <w:pStyle w:val="ListBullet"/>
      </w:pPr>
      <w:r>
        <w:rPr>
          <w:rFonts w:ascii="Calibri" w:hAnsi="Calibri"/>
          <w:sz w:val="21"/>
        </w:rPr>
        <w:t>The pre-tax proxy through April 9, 2026 is already about $731,968, which is well above the $300,000 small business limit.</w:t>
      </w:r>
    </w:p>
    <w:p>
      <w:pPr>
        <w:pStyle w:val="ListBullet"/>
      </w:pPr>
      <w:r>
        <w:rPr>
          <w:rFonts w:ascii="Calibri" w:hAnsi="Calibri"/>
          <w:sz w:val="21"/>
        </w:rPr>
        <w:t>Last year finished with taxable income of about $490,652 and total tax of about $107,128.</w:t>
      </w:r>
    </w:p>
    <w:p>
      <w:pPr>
        <w:pStyle w:val="ListBullet"/>
      </w:pPr>
      <w:r>
        <w:rPr>
          <w:rFonts w:ascii="Calibri" w:hAnsi="Calibri"/>
          <w:sz w:val="21"/>
        </w:rPr>
        <w:t>The current-year pattern still supports a real tax bill even before any final accountant adjustments.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This Means for You</w:t>
      </w:r>
    </w:p>
    <w:p>
      <w:pPr>
        <w:pStyle w:val="ListBullet"/>
      </w:pPr>
      <w:r>
        <w:rPr>
          <w:rFonts w:ascii="Calibri" w:hAnsi="Calibri"/>
          <w:sz w:val="21"/>
        </w:rPr>
        <w:t>A large portion of income is likely being taxed above the small-business rate.</w:t>
      </w:r>
    </w:p>
    <w:p>
      <w:pPr>
        <w:pStyle w:val="ListBullet"/>
      </w:pPr>
      <w:r>
        <w:rPr>
          <w:rFonts w:ascii="Calibri" w:hAnsi="Calibri"/>
          <w:sz w:val="21"/>
        </w:rPr>
        <w:t>Cash should be planned for a real tax payment rather than assuming the final number will come out small.</w:t>
      </w:r>
    </w:p>
    <w:p>
      <w:pPr>
        <w:pStyle w:val="ListBullet"/>
      </w:pPr>
      <w:r>
        <w:rPr>
          <w:rFonts w:ascii="Calibri" w:hAnsi="Calibri"/>
          <w:sz w:val="21"/>
        </w:rPr>
        <w:t>This is an estimate of total tax for the year, not a confirmed remaining balance after installments.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To Do Next</w:t>
      </w:r>
    </w:p>
    <w:p>
      <w:pPr>
        <w:pStyle w:val="ListBullet"/>
      </w:pPr>
      <w:r>
        <w:rPr>
          <w:rFonts w:ascii="Calibri" w:hAnsi="Calibri"/>
          <w:sz w:val="21"/>
        </w:rPr>
        <w:t>Plan cash using about $72,000 as the working number.</w:t>
      </w:r>
    </w:p>
    <w:p>
      <w:pPr>
        <w:pStyle w:val="ListBullet"/>
      </w:pPr>
      <w:r>
        <w:rPr>
          <w:rFonts w:ascii="Calibri" w:hAnsi="Calibri"/>
          <w:sz w:val="21"/>
        </w:rPr>
        <w:t>Confirm actual installment history directly from CRA records, QuickBooks evidence, or the accountant.</w:t>
      </w:r>
    </w:p>
    <w:p>
      <w:pPr>
        <w:pStyle w:val="ListBullet"/>
      </w:pPr>
      <w:r>
        <w:rPr>
          <w:rFonts w:ascii="Calibri" w:hAnsi="Calibri"/>
          <w:sz w:val="21"/>
        </w:rPr>
        <w:t>Ask Tang &amp; Partners whether salary, bonus, or any valid year-end deductions should be used before July 31, 2026.</w:t>
      </w:r>
    </w:p>
    <w:p>
      <w:r>
        <w:rPr>
          <w:rFonts w:ascii="Calibri" w:hAnsi="Calibri"/>
          <w:b/>
          <w:color w:val="1F3896"/>
          <w:sz w:val="25"/>
        </w:rPr>
        <w:t>Items To Confirm</w:t>
      </w:r>
    </w:p>
    <w:p>
      <w:pPr>
        <w:pStyle w:val="ListBullet"/>
      </w:pPr>
      <w:r>
        <w:rPr>
          <w:rFonts w:ascii="Calibri" w:hAnsi="Calibri"/>
          <w:sz w:val="21"/>
        </w:rPr>
        <w:t>What tax installments, if any, were actually paid for FY2025-26?</w:t>
      </w:r>
    </w:p>
    <w:p>
      <w:pPr>
        <w:pStyle w:val="ListBullet"/>
      </w:pPr>
      <w:r>
        <w:rPr>
          <w:rFonts w:ascii="Calibri" w:hAnsi="Calibri"/>
          <w:sz w:val="21"/>
        </w:rPr>
        <w:t>Is account 5711 Service Fee fully deductible?</w:t>
      </w:r>
    </w:p>
    <w:p>
      <w:pPr>
        <w:shd w:val="clear" w:color="auto" w:fill="EAF4EA"/>
        <w:spacing w:after="160"/>
        <w:ind w:left="115"/>
      </w:pPr>
      <w:r>
        <w:rPr>
          <w:rFonts w:ascii="Calibri" w:hAnsi="Calibri"/>
          <w:b/>
          <w:color w:val="1A5C1A"/>
          <w:sz w:val="22"/>
        </w:rPr>
        <w:t xml:space="preserve">Bottom Line  </w:t>
      </w:r>
      <w:r>
        <w:rPr>
          <w:rFonts w:ascii="Calibri" w:hAnsi="Calibri"/>
          <w:color w:val="1A5C1A"/>
          <w:sz w:val="22"/>
        </w:rPr>
        <w:t>The tax bill does not look small this year. The right planning figure is about $72,000 total tax for the year, while keeping installment status separate until it is proven from an explicit source.</w:t>
      </w:r>
    </w:p>
    <w:p>
      <w:r>
        <w:rPr>
          <w:rFonts w:ascii="Calibri" w:hAnsi="Calibri"/>
          <w:i/>
          <w:color w:val="6A6A6A"/>
          <w:sz w:val="18"/>
        </w:rPr>
        <w:t>Prepared in a live Codex session. Python handled extraction and formatting; the report judgment was made during the chat review.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