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bookmarkStart w:id="0" w:name="__DdeLink__318_1695459930"/>
      <w:bookmarkStart w:id="1" w:name="__DdeLink__315_1695459930"/>
      <w:r>
        <w:rPr/>
        <w:t>USUF MINTING POLICY</w:t>
      </w:r>
      <w:bookmarkEnd w:id="0"/>
      <w:bookmarkEnd w:id="1"/>
    </w:p>
    <w:p>
      <w:pPr>
        <w:pStyle w:val="BodyText"/>
        <w:bidi w:val="0"/>
        <w:jc w:val="start"/>
        <w:rPr/>
      </w:pPr>
      <w:r>
        <w:rPr>
          <w:rStyle w:val="Emphasis"/>
        </w:rPr>
        <w:t>(Controlled Supply Expansion Framework)</w:t>
      </w:r>
    </w:p>
    <w:p>
      <w:pPr>
        <w:pStyle w:val="Heading2"/>
        <w:bidi w:val="0"/>
        <w:jc w:val="start"/>
        <w:rPr/>
      </w:pPr>
      <w:r>
        <w:rPr/>
        <w:t>I. Mint Authority</w:t>
      </w:r>
    </w:p>
    <w:p>
      <w:pPr>
        <w:pStyle w:val="BodyText"/>
        <w:bidi w:val="0"/>
        <w:jc w:val="start"/>
        <w:rPr/>
      </w:pPr>
      <w:r>
        <w:rPr/>
        <w:t>Minting authority shall be controlled by: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Multi-signature treasury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Minimum 2-of-3 signers</w:t>
      </w:r>
    </w:p>
    <w:p>
      <w:pPr>
        <w:pStyle w:val="BodyText"/>
        <w:bidi w:val="0"/>
        <w:jc w:val="start"/>
        <w:rPr/>
      </w:pPr>
      <w:r>
        <w:rPr/>
        <w:t>Governance model similar in structure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MakerDAO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II. Minting Trigger</w:t>
      </w:r>
    </w:p>
    <w:p>
      <w:pPr>
        <w:pStyle w:val="BodyText"/>
        <w:bidi w:val="0"/>
        <w:jc w:val="start"/>
        <w:rPr/>
      </w:pPr>
      <w:r>
        <w:rPr/>
        <w:t>New USUF may be minted ONLY when:</w:t>
      </w:r>
    </w:p>
    <w:p>
      <w:pPr>
        <w:pStyle w:val="BodyText"/>
        <w:bidi w:val="0"/>
        <w:jc w:val="start"/>
        <w:rPr/>
      </w:pPr>
      <w:r>
        <w:rPr/>
        <w:t>One of the following occurs: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Verified food inventory added to reserve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Stablecoin deposited specifically for food procurement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Fiat funds received for immediate food acquisition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III. Minting Formula</w:t>
      </w:r>
    </w:p>
    <w:p>
      <w:pPr>
        <w:pStyle w:val="BodyText"/>
        <w:bidi w:val="0"/>
        <w:jc w:val="start"/>
        <w:rPr/>
      </w:pPr>
      <w:r>
        <w:rPr/>
        <w:t>Tokens minted = Verified Food Value (USD equivalent)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$500,000 wholesale rice inventory added</w:t>
        <w:br/>
        <w:t>→ 500,000 USUF minted</w:t>
      </w:r>
    </w:p>
    <w:p>
      <w:pPr>
        <w:pStyle w:val="BodyText"/>
        <w:bidi w:val="0"/>
        <w:jc w:val="start"/>
        <w:rPr/>
      </w:pPr>
      <w:r>
        <w:rPr/>
        <w:t>No algorithmic expansion.</w:t>
        <w:br/>
        <w:t>No discretionary printing.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IV. Emergency Controls</w:t>
      </w:r>
    </w:p>
    <w:p>
      <w:pPr>
        <w:pStyle w:val="BodyText"/>
        <w:bidi w:val="0"/>
        <w:jc w:val="start"/>
        <w:rPr/>
      </w:pPr>
      <w:r>
        <w:rPr/>
        <w:t>The contract must include: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pause()</w:t>
      </w:r>
      <w:r>
        <w:rPr/>
        <w:t xml:space="preserve"> function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mint()</w:t>
      </w:r>
      <w:r>
        <w:rPr/>
        <w:t xml:space="preserve"> function (restricted)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burn()</w:t>
      </w:r>
      <w:r>
        <w:rPr/>
        <w:t xml:space="preserve"> function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112</Words>
  <Characters>668</Characters>
  <CharactersWithSpaces>747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2026-03-02T02:39:26Z</dcterms:created>
  <dc:creator/>
  <dc:description/>
  <dc:language>en-US</dc:language>
  <cp:lastModifiedBy/>
  <dcterms:modified xsi:type="dcterms:W3CDTF">2026-03-02T02:41:36Z</dcterms:modified>
  <cp:revision>1</cp:revision>
  <dc:subject/>
  <dc:title/>
</cp:coreProperties>
</file>