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关于某科技公司劳动争议及合同纠纷的法律意见书</w:t>
      </w:r>
    </w:p>
    <w:p>
      <w:r>
        <w:rPr>
          <w:b w:val="0"/>
          <w:sz w:val="24"/>
        </w:rPr>
        <w:t>致：某科技有限公司</w:t>
      </w:r>
    </w:p>
    <w:p>
      <w:r>
        <w:rPr>
          <w:b/>
          <w:sz w:val="24"/>
        </w:rPr>
        <w:t>一、关于未签订书面劳动合同的二倍工资风险</w:t>
      </w:r>
    </w:p>
    <w:p>
      <w:r>
        <w:rPr>
          <w:b w:val="0"/>
          <w:sz w:val="24"/>
        </w:rPr>
        <w:t>根据《中华人民共和国劳动合同法》第八十二条，用人单位自用工之日起超过一个月不满一年未与劳动者订立书面劳动合同的，应当向劳动者每月支付二倍的工资。贵公司自2025年3月用工至今未与员工王某签订书面合同，已构成上述情形。</w:t>
      </w:r>
    </w:p>
    <w:p>
      <w:r>
        <w:rPr>
          <w:b w:val="0"/>
          <w:sz w:val="24"/>
        </w:rPr>
        <w:t>同时，依据《中华人民共和国劳动合同法》第四十七条，经济补偿按劳动者在本单位工作的年限，每满一年支付两个月工资的标准向劳动者支付。</w:t>
      </w:r>
    </w:p>
    <w:p>
      <w:r>
        <w:rPr>
          <w:b/>
          <w:sz w:val="24"/>
        </w:rPr>
        <w:t>二、关于供应商合同违约责任</w:t>
      </w:r>
    </w:p>
    <w:p>
      <w:r>
        <w:rPr>
          <w:b w:val="0"/>
          <w:sz w:val="24"/>
        </w:rPr>
        <w:t>《中华人民共和国民法典》第五百七十七条规定，当事人一方不履行合同义务或者履行合同义务不符合约定的，应当承担继续履行、采取补救措施或者赔偿损失等违约责任。供应商逾期交货已构成违约，贵公司有权主张前述违约责任。</w:t>
      </w:r>
    </w:p>
    <w:p>
      <w:r>
        <w:rPr>
          <w:b w:val="0"/>
          <w:sz w:val="24"/>
        </w:rPr>
        <w:t>需要注意的是，根据《中华人民共和国民法典》第一百九十六条，向人民法院请求保护民事权利的诉讼时效期间为三年，自权利人知道或者应当知道权利受到损害之日起计算。建议尽快主张权利。</w:t>
      </w:r>
    </w:p>
    <w:p>
      <w:r>
        <w:rPr>
          <w:b/>
          <w:sz w:val="24"/>
        </w:rPr>
        <w:t>三、关于消费者投诉的惩罚性赔偿风险</w:t>
      </w:r>
    </w:p>
    <w:p>
      <w:r>
        <w:rPr>
          <w:b w:val="0"/>
          <w:sz w:val="24"/>
        </w:rPr>
        <w:t>若贵公司销售行为被认定为欺诈，依据《中华人民共和国消费者权益保护法》第五十五条，消费者有权要求增加赔偿其受到的损失，增加赔偿的金额为消费者购买商品价款的十倍；增加赔偿的金额不足一千元的，为一千元。</w:t>
      </w:r>
    </w:p>
    <w:p>
      <w:r>
        <w:rPr>
          <w:b/>
          <w:sz w:val="24"/>
        </w:rPr>
        <w:t>四、关于股东出资加速到期</w:t>
      </w:r>
    </w:p>
    <w:p>
      <w:r>
        <w:rPr>
          <w:b w:val="0"/>
          <w:sz w:val="24"/>
        </w:rPr>
        <w:t>根据《中华人民共和国公司法》第五十四条，公司不能清偿到期债务的，公司或者已到期债权的债权人有权要求已认缴出资但未届出资期限的股东提前缴纳出资。</w:t>
      </w:r>
    </w:p>
    <w:p>
      <w:r>
        <w:rPr>
          <w:b w:val="0"/>
          <w:sz w:val="24"/>
        </w:rPr>
        <w:t>此点亦可参考最高人民法院指导案例96号（宋文军诉西安市大华餐饮有限责任公司股东资格确认纠纷案）所体现的公司自治与债权人保护的平衡思路。</w:t>
      </w:r>
    </w:p>
    <w:p>
      <w:r>
        <w:rPr>
          <w:b/>
          <w:sz w:val="24"/>
        </w:rPr>
        <w:t>五、关于员工个人信息处理</w:t>
      </w:r>
    </w:p>
    <w:p>
      <w:r>
        <w:rPr>
          <w:b w:val="0"/>
          <w:sz w:val="24"/>
        </w:rPr>
        <w:t>根据《中华人民共和国个人信息保护法》的规定，按照依法制定的劳动规章制度实施人力资源管理所必需时，处理员工个人信息无需取得个人同意，但仍应履行告知义务。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