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关于商标侵权纠纷的备忘录</w:t>
      </w:r>
    </w:p>
    <w:p>
      <w:r>
        <w:t>在（2018）最高法民再396号案中，最高人民法院认为，销售者销售侵犯注册商标专用权商品，若能证明合法来源且尽到合理注意义务，可不承担赔偿责任。</w:t>
      </w:r>
    </w:p>
    <w:p>
      <w:r>
        <w:t>关于公司章程限制股权转让的问题，可参考宋文军诉西安市大华餐饮有限责任公司股东资格确认纠纷案，法院认为公司章程可以对股东失权作出自治安排；此类人走股留条款因违反公司法的禁止性规定而一律无效；公司还应当向离职股东支付离职经济补偿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