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关于用工合规风险的备忘录</w:t>
      </w:r>
    </w:p>
    <w:p>
      <w:r>
        <w:t>一、根据《中华人民共和国劳动合同法》（以下简称《劳动合同法》）的规定，用人单位应当自用工之日起一个月内与劳动者订立书面劳动合同。</w:t>
      </w:r>
    </w:p>
    <w:p>
      <w:r>
        <w:t>二、依据《劳动合同法》第八十二条，用人单位超过一个月不满一年未订立书面劳动合同的，应当向劳动者每月支付三倍的工资。</w:t>
      </w:r>
    </w:p>
    <w:p>
      <w:r>
        <w:t>三、对于分公司用工，同样依据《劳动合同法》第八十二条，用人单位超过一个月不满一年未订立书面劳动合同的，应当向劳动者每月支付三倍的工资。</w:t>
      </w:r>
    </w:p>
    <w:p>
      <w:r>
        <w:t>四、外包转自营人员亦同：依据《劳动合同法》第八十二条，用人单位超过一个月不满一年未订立书面劳动合同的，应当向劳动者每月支付三倍的工资。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