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F7521" w14:textId="5CEC5F8D" w:rsidR="003377DF" w:rsidRDefault="003377DF" w:rsidP="003377DF">
      <w:pPr>
        <w:spacing w:line="288" w:lineRule="auto"/>
        <w:jc w:val="center"/>
        <w:rPr>
          <w:rFonts w:ascii="仿宋" w:eastAsia="仿宋" w:hAnsi="仿宋" w:cs="方正仿宋_GB2312" w:hint="eastAsia"/>
          <w:b/>
          <w:sz w:val="36"/>
        </w:rPr>
      </w:pPr>
    </w:p>
    <w:p w14:paraId="0BB87990" w14:textId="731A8E3E" w:rsidR="00C162C2" w:rsidRDefault="00000000">
      <w:pPr>
        <w:spacing w:line="288" w:lineRule="auto"/>
        <w:jc w:val="center"/>
        <w:rPr>
          <w:rFonts w:ascii="仿宋" w:eastAsia="仿宋" w:hAnsi="仿宋" w:cs="方正仿宋_GB2312"/>
          <w:b/>
          <w:sz w:val="36"/>
        </w:rPr>
      </w:pPr>
      <w:r>
        <w:rPr>
          <w:rFonts w:ascii="仿宋" w:eastAsia="仿宋" w:hAnsi="仿宋" w:cs="方正仿宋_GB2312"/>
          <w:b/>
          <w:sz w:val="36"/>
        </w:rPr>
        <w:t>重大活动交通</w:t>
      </w:r>
      <w:r>
        <w:rPr>
          <w:rFonts w:ascii="仿宋" w:eastAsia="仿宋" w:hAnsi="仿宋" w:cs="方正仿宋_GB2312" w:hint="eastAsia"/>
          <w:b/>
          <w:sz w:val="36"/>
        </w:rPr>
        <w:t>态势</w:t>
      </w:r>
      <w:r>
        <w:rPr>
          <w:rFonts w:ascii="仿宋" w:eastAsia="仿宋" w:hAnsi="仿宋" w:cs="方正仿宋_GB2312"/>
          <w:b/>
          <w:sz w:val="36"/>
        </w:rPr>
        <w:t>洞察及辅助决策智能体集群</w:t>
      </w:r>
    </w:p>
    <w:p w14:paraId="5A81417F" w14:textId="77777777" w:rsidR="00A808BD" w:rsidRDefault="00000000" w:rsidP="00A808BD">
      <w:pPr>
        <w:spacing w:line="288" w:lineRule="auto"/>
        <w:jc w:val="center"/>
        <w:rPr>
          <w:rFonts w:ascii="仿宋" w:eastAsia="仿宋" w:hAnsi="仿宋" w:cs="方正仿宋_GB2312"/>
          <w:b/>
          <w:sz w:val="36"/>
        </w:rPr>
      </w:pPr>
      <w:r>
        <w:rPr>
          <w:rFonts w:ascii="仿宋" w:eastAsia="仿宋" w:hAnsi="仿宋" w:cs="方正仿宋_GB2312" w:hint="eastAsia"/>
          <w:b/>
          <w:sz w:val="36"/>
        </w:rPr>
        <w:t>说明文档</w:t>
      </w:r>
      <w:r w:rsidR="00DB3401">
        <w:rPr>
          <w:rFonts w:ascii="仿宋" w:eastAsia="仿宋" w:hAnsi="仿宋" w:cs="方正仿宋_GB2312" w:hint="eastAsia"/>
          <w:b/>
          <w:sz w:val="36"/>
        </w:rPr>
        <w:t>大纲</w:t>
      </w:r>
    </w:p>
    <w:p w14:paraId="176E746C" w14:textId="77777777" w:rsidR="00A808BD" w:rsidRDefault="00A808BD" w:rsidP="00A808BD">
      <w:pPr>
        <w:spacing w:line="288" w:lineRule="auto"/>
        <w:jc w:val="center"/>
        <w:rPr>
          <w:rFonts w:ascii="仿宋" w:eastAsia="仿宋" w:hAnsi="仿宋" w:cs="方正仿宋_GB2312" w:hint="eastAsia"/>
          <w:b/>
          <w:sz w:val="36"/>
        </w:rPr>
      </w:pPr>
    </w:p>
    <w:p w14:paraId="52F981F5" w14:textId="77777777" w:rsidR="00A808BD" w:rsidRDefault="00000000" w:rsidP="00A808BD">
      <w:pPr>
        <w:spacing w:line="288" w:lineRule="auto"/>
        <w:jc w:val="left"/>
        <w:rPr>
          <w:rFonts w:ascii="仿宋" w:eastAsia="仿宋" w:hAnsi="仿宋" w:cs="方正仿宋_GB2312"/>
          <w:b/>
          <w:sz w:val="36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一、总体概述</w:t>
      </w:r>
    </w:p>
    <w:p w14:paraId="60677133" w14:textId="77777777" w:rsidR="00A808BD" w:rsidRDefault="00000000" w:rsidP="00A808BD">
      <w:pPr>
        <w:spacing w:line="288" w:lineRule="auto"/>
        <w:jc w:val="left"/>
        <w:rPr>
          <w:rFonts w:ascii="仿宋" w:eastAsia="仿宋" w:hAnsi="仿宋" w:cs="方正仿宋_GB2312"/>
          <w:b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1.1</w:t>
      </w: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建设目标与定位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（阐述智能体的建设目标、业务定位以及核心价值）</w:t>
      </w:r>
    </w:p>
    <w:p w14:paraId="63ECEF6F" w14:textId="2EF3F76A" w:rsidR="00C162C2" w:rsidRDefault="00000000" w:rsidP="00A808BD">
      <w:pPr>
        <w:spacing w:line="288" w:lineRule="auto"/>
        <w:jc w:val="left"/>
        <w:rPr>
          <w:rFonts w:ascii="Times New Roman" w:eastAsia="宋体" w:hAnsi="Times New Roman" w:cs="Times New Roman"/>
          <w:color w:val="0F1115"/>
          <w:sz w:val="28"/>
          <w:szCs w:val="20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1.2</w:t>
      </w: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场景描述与能力边界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（明确智能体覆盖的业务场景范围、核心解决的业务痛点，以及当前版本的能力边界与限制）</w:t>
      </w:r>
    </w:p>
    <w:p w14:paraId="69E063D3" w14:textId="77777777" w:rsidR="00C162C2" w:rsidRDefault="00000000" w:rsidP="00A808BD">
      <w:pPr>
        <w:pStyle w:val="2"/>
        <w:keepLines w:val="0"/>
        <w:widowControl/>
        <w:shd w:val="clear" w:color="auto" w:fill="FFFFFF"/>
        <w:spacing w:after="200" w:line="288" w:lineRule="auto"/>
        <w:jc w:val="left"/>
        <w:rPr>
          <w:rFonts w:ascii="仿宋" w:eastAsia="仿宋" w:hAnsi="仿宋" w:cs="方正仿宋_GB2312"/>
          <w:b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1.3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核心成果亮点概述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（说明智能体的核心能力优势、技术亮点）</w:t>
      </w:r>
    </w:p>
    <w:p w14:paraId="6D03D04A" w14:textId="77777777" w:rsidR="00C162C2" w:rsidRDefault="00000000">
      <w:pPr>
        <w:pStyle w:val="1"/>
        <w:keepLines w:val="0"/>
        <w:widowControl/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二、总体技术架构</w:t>
      </w:r>
    </w:p>
    <w:p w14:paraId="70E2E7E2" w14:textId="77777777" w:rsidR="00C162C2" w:rsidRDefault="00000000">
      <w:pPr>
        <w:pStyle w:val="2"/>
        <w:keepLines w:val="0"/>
        <w:widowControl/>
        <w:shd w:val="clear" w:color="auto" w:fill="FFFFFF"/>
        <w:spacing w:after="200" w:line="288" w:lineRule="auto"/>
        <w:ind w:leftChars="100" w:left="210"/>
        <w:jc w:val="left"/>
        <w:rPr>
          <w:color w:val="1F2329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2.1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总体架构设计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（智能体整体架构图，清晰展示各层级模块关系、数据流向与交互逻辑）</w:t>
      </w:r>
    </w:p>
    <w:p w14:paraId="08BB1B9D" w14:textId="77777777" w:rsidR="00C162C2" w:rsidRDefault="00000000">
      <w:pPr>
        <w:pStyle w:val="2"/>
        <w:keepLines w:val="0"/>
        <w:widowControl/>
        <w:shd w:val="clear" w:color="auto" w:fill="FFFFFF"/>
        <w:spacing w:after="200" w:line="288" w:lineRule="auto"/>
        <w:ind w:leftChars="100" w:left="210"/>
        <w:jc w:val="left"/>
        <w:rPr>
          <w:rFonts w:ascii="仿宋" w:eastAsia="仿宋" w:hAnsi="仿宋" w:cs="方正仿宋_GB2312"/>
          <w:b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 xml:space="preserve">2.2 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分层模块说明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（各模块职责、边界与交互关系）</w:t>
      </w:r>
    </w:p>
    <w:p w14:paraId="3FAEB67B" w14:textId="77777777" w:rsidR="00C162C2" w:rsidRDefault="00000000">
      <w:pPr>
        <w:pStyle w:val="2"/>
        <w:keepLines w:val="0"/>
        <w:widowControl/>
        <w:shd w:val="clear" w:color="auto" w:fill="FFFFFF"/>
        <w:spacing w:after="200" w:line="288" w:lineRule="auto"/>
        <w:ind w:leftChars="100" w:left="210"/>
        <w:jc w:val="left"/>
        <w:rPr>
          <w:rFonts w:ascii="仿宋" w:eastAsia="仿宋" w:hAnsi="仿宋" w:cs="方正仿宋_GB2312"/>
          <w:b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 xml:space="preserve">2.3 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核心技术选型清单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（列明基础模型选型、核心开发框架、组件工具、数据库、中间件等技术选型）</w:t>
      </w:r>
    </w:p>
    <w:p w14:paraId="16F48D1F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数据接入与治理</w:t>
      </w:r>
    </w:p>
    <w:p w14:paraId="51C762FD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 xml:space="preserve">3.1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基础数据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（明确说明本系统所基于的、由组织方提供的指定</w:t>
      </w:r>
      <w:r>
        <w:rPr>
          <w:rFonts w:ascii="仿宋" w:eastAsia="仿宋" w:hAnsi="仿宋" w:cs="方正仿宋_GB2312" w:hint="eastAsia"/>
          <w:bCs/>
          <w:sz w:val="30"/>
          <w:szCs w:val="30"/>
        </w:rPr>
        <w:lastRenderedPageBreak/>
        <w:t>日期交通数据及字段/口径，并说明其使用方式。）</w:t>
      </w:r>
    </w:p>
    <w:p w14:paraId="5C675094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3.2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补充数据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（如有自行增加的补充数据，须说明数据来源、字段/口径以及使用方式）</w:t>
      </w:r>
    </w:p>
    <w:p w14:paraId="234E91E5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3.3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数据处理方式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（包含数据清洗规则、时间戳对齐方法、字段标准化处理、异常值处理策略等内容，须覆盖基础数据与补充数据）</w:t>
      </w:r>
    </w:p>
    <w:p w14:paraId="5DDDA789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核心功能设计</w:t>
      </w:r>
    </w:p>
    <w:p w14:paraId="096D2711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智能问数智能体设计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（包含Text-to-SQL/Text-to-Chart核心实现逻辑、交通业务术语语义理解、多表关联查询以及复杂条件嵌套查询的处理逻辑、查询结果校验纠错与异常兜底方案等内容）</w:t>
      </w:r>
    </w:p>
    <w:p w14:paraId="20300C62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辅助决策智能体设计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（包含业务自主分析的推理链路设计与挖掘逻辑，交通保障预案生成的规则框架、业务约束嵌入方式，方案输出的结构化标准与内容层级设计）</w:t>
      </w:r>
    </w:p>
    <w:p w14:paraId="7858E041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4.3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其他智能体设计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（如有其他智能体）</w:t>
      </w:r>
    </w:p>
    <w:p w14:paraId="583E111A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4.4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可解释性与可追溯设计</w:t>
      </w:r>
    </w:p>
    <w:p w14:paraId="256D179B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系统交互与成果呈现设计</w:t>
      </w:r>
    </w:p>
    <w:p w14:paraId="5D9EA686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5.1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对话交互系统设计</w:t>
      </w:r>
    </w:p>
    <w:p w14:paraId="0C5046AA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5.2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结果呈现设计</w:t>
      </w:r>
    </w:p>
    <w:p w14:paraId="21954D65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lastRenderedPageBreak/>
        <w:t>可拓展性与安全合规设计</w:t>
      </w:r>
    </w:p>
    <w:p w14:paraId="277C89F0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6.1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系统可拓展性设计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（包含新数据接入的标准化流程与拓展方案、跨场景的可迁移性方案、基模迭代与能力升级的适配性方案等）</w:t>
      </w:r>
    </w:p>
    <w:p w14:paraId="13524C99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6.2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数据安全与合规设计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（数据脱敏合规）</w:t>
      </w:r>
    </w:p>
    <w:p w14:paraId="74FBB77D" w14:textId="448ED0E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结果</w:t>
      </w:r>
      <w:r w:rsidR="00475475"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展示</w:t>
      </w:r>
    </w:p>
    <w:p w14:paraId="7FBBC799" w14:textId="56407C3C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7.</w:t>
      </w:r>
      <w:r w:rsidR="002E25E0"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核心能力量化测试结果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（问数准确率、决策方案可用性等）</w:t>
      </w:r>
    </w:p>
    <w:p w14:paraId="75B112BD" w14:textId="07A1BC19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7.</w:t>
      </w:r>
      <w:r w:rsidR="002E25E0"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业务场景效果验证</w:t>
      </w:r>
    </w:p>
    <w:p w14:paraId="051B8CD4" w14:textId="0BA5130C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7.</w:t>
      </w:r>
      <w:r w:rsidR="002E25E0"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3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已知缺陷与边界说明</w:t>
      </w:r>
    </w:p>
    <w:p w14:paraId="7FC5FCCD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成果交付清单</w:t>
      </w:r>
    </w:p>
    <w:p w14:paraId="71CAE725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8.1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文档类交付物</w:t>
      </w:r>
    </w:p>
    <w:p w14:paraId="2F54E8D9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仿宋" w:eastAsia="仿宋" w:hAnsi="仿宋" w:cs="方正仿宋_GB2312" w:hint="eastAsia"/>
          <w:bCs/>
          <w:sz w:val="30"/>
          <w:szCs w:val="30"/>
        </w:rPr>
        <w:t>列明本次提交的全部文档材料名称、版本与说明。</w:t>
      </w:r>
    </w:p>
    <w:p w14:paraId="3CF17B54" w14:textId="77777777" w:rsidR="00C162C2" w:rsidRDefault="00000000">
      <w:pPr>
        <w:ind w:leftChars="100" w:left="210"/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8.2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系统类交付物</w:t>
      </w:r>
    </w:p>
    <w:p w14:paraId="72C54107" w14:textId="5D2315A2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仿宋" w:eastAsia="仿宋" w:hAnsi="仿宋" w:cs="方正仿宋_GB2312" w:hint="eastAsia"/>
          <w:bCs/>
          <w:sz w:val="30"/>
          <w:szCs w:val="30"/>
        </w:rPr>
        <w:t>列明原型程序</w:t>
      </w:r>
      <w:r w:rsidR="00DD7536">
        <w:rPr>
          <w:rFonts w:ascii="仿宋" w:eastAsia="仿宋" w:hAnsi="仿宋" w:cs="方正仿宋_GB2312" w:hint="eastAsia"/>
          <w:bCs/>
          <w:sz w:val="30"/>
          <w:szCs w:val="30"/>
        </w:rPr>
        <w:t>部署调用</w:t>
      </w:r>
      <w:r w:rsidR="0036444F">
        <w:rPr>
          <w:rFonts w:ascii="仿宋" w:eastAsia="仿宋" w:hAnsi="仿宋" w:cs="方正仿宋_GB2312" w:hint="eastAsia"/>
          <w:bCs/>
          <w:sz w:val="30"/>
          <w:szCs w:val="30"/>
        </w:rPr>
        <w:t>或展示</w:t>
      </w:r>
      <w:r w:rsidR="00DD7536">
        <w:rPr>
          <w:rFonts w:ascii="仿宋" w:eastAsia="仿宋" w:hAnsi="仿宋" w:cs="方正仿宋_GB2312" w:hint="eastAsia"/>
          <w:bCs/>
          <w:sz w:val="30"/>
          <w:szCs w:val="30"/>
        </w:rPr>
        <w:t>方式</w:t>
      </w:r>
      <w:r w:rsidR="0036444F">
        <w:rPr>
          <w:rFonts w:ascii="仿宋" w:eastAsia="仿宋" w:hAnsi="仿宋" w:cs="方正仿宋_GB2312" w:hint="eastAsia"/>
          <w:bCs/>
          <w:sz w:val="30"/>
          <w:szCs w:val="30"/>
        </w:rPr>
        <w:t>等</w:t>
      </w:r>
      <w:r>
        <w:rPr>
          <w:rFonts w:ascii="仿宋" w:eastAsia="仿宋" w:hAnsi="仿宋" w:cs="方正仿宋_GB2312" w:hint="eastAsia"/>
          <w:bCs/>
          <w:sz w:val="30"/>
          <w:szCs w:val="30"/>
        </w:rPr>
        <w:t>。</w:t>
      </w:r>
    </w:p>
    <w:p w14:paraId="42D9A184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8.3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其他配套交付物</w:t>
      </w:r>
    </w:p>
    <w:p w14:paraId="6032CAC6" w14:textId="47188C0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仿宋" w:eastAsia="仿宋" w:hAnsi="仿宋" w:cs="方正仿宋_GB2312" w:hint="eastAsia"/>
          <w:bCs/>
          <w:sz w:val="30"/>
          <w:szCs w:val="30"/>
        </w:rPr>
        <w:t>如演示视频、补充说明材料等。</w:t>
      </w:r>
    </w:p>
    <w:p w14:paraId="36656A28" w14:textId="77777777" w:rsidR="00C162C2" w:rsidRDefault="00C162C2"/>
    <w:sectPr w:rsidR="00C16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" w:subsetted="1" w:fontKey="{BF47F456-0AF6-5644-BEA1-0F3E5BA1669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2" w:subsetted="1" w:fontKey="{0EC23C9C-9B5C-704D-A067-74AAF10FD90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A8913F11-15F3-A14F-8FDC-F746E7D64418}"/>
    <w:embedBold r:id="rId4" w:subsetted="1" w:fontKey="{75AD860F-FC7C-2F44-9A5B-2ADDA6F7DB42}"/>
  </w:font>
  <w:font w:name="方正仿宋_GB2312">
    <w:panose1 w:val="020B0604020202020204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4E0A2"/>
    <w:multiLevelType w:val="singleLevel"/>
    <w:tmpl w:val="0724E0A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87898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03D4450"/>
    <w:rsid w:val="001E162A"/>
    <w:rsid w:val="002E25E0"/>
    <w:rsid w:val="003377DF"/>
    <w:rsid w:val="0036444F"/>
    <w:rsid w:val="003B4775"/>
    <w:rsid w:val="00475475"/>
    <w:rsid w:val="00584C2D"/>
    <w:rsid w:val="0078265F"/>
    <w:rsid w:val="007B0692"/>
    <w:rsid w:val="00A808BD"/>
    <w:rsid w:val="00C162C2"/>
    <w:rsid w:val="00DB3401"/>
    <w:rsid w:val="00DD7536"/>
    <w:rsid w:val="00DE5031"/>
    <w:rsid w:val="05EC5B44"/>
    <w:rsid w:val="07516F96"/>
    <w:rsid w:val="0F242255"/>
    <w:rsid w:val="25367963"/>
    <w:rsid w:val="292F0C2C"/>
    <w:rsid w:val="29534671"/>
    <w:rsid w:val="3A381380"/>
    <w:rsid w:val="3E3839DE"/>
    <w:rsid w:val="403D4450"/>
    <w:rsid w:val="6C59632A"/>
    <w:rsid w:val="71AE4710"/>
    <w:rsid w:val="74F8786E"/>
    <w:rsid w:val="792627D5"/>
    <w:rsid w:val="7A392501"/>
    <w:rsid w:val="7D92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7B14867"/>
  <w15:docId w15:val="{078F3051-6EF4-A643-8894-8A4C469A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黄驿惠</dc:creator>
  <cp:lastModifiedBy>为珊 孙</cp:lastModifiedBy>
  <cp:revision>13</cp:revision>
  <dcterms:created xsi:type="dcterms:W3CDTF">2026-07-23T02:26:00Z</dcterms:created>
  <dcterms:modified xsi:type="dcterms:W3CDTF">2026-07-23T03:06:00Z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56B1B0530CDC4824BC3E5FBF32CEC771_11</vt:lpwstr>
  </property>
  <property fmtid="{D5CDD505-2E9C-101B-9397-08002B2CF9AE}" pid="4" name="KSOTemplateDocerSaveRecord">
    <vt:lpwstr>eyJoZGlkIjoiMjVkZGRhNDY5YjgxODQ0NmE4YmRiYzQ1YTNmNWJlYjQiLCJ1c2VySWQiOiI2MDYzNjEzNjQifQ==</vt:lpwstr>
  </property>
</Properties>
</file>