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2100"/>
      </w:pPr>
    </w:p>
    <w:p>
      <w:pPr>
        <w:spacing w:after="240"/>
        <w:jc w:val="center"/>
      </w:pPr>
      <w:r>
        <w:rPr>
          <w:rFonts w:ascii="Arial" w:hAnsi="Arial" w:eastAsia="仿宋" w:cs="Arial"/>
          <w:b/>
          <w:color w:val="202124"/>
          <w:sz w:val="50"/>
        </w:rPr>
        <w:t>重大活动交通态势洞察及</w:t>
        <w:br/>
        <w:t>辅助决策智能体集群</w:t>
      </w:r>
    </w:p>
    <w:p>
      <w:pPr>
        <w:spacing w:after="1040"/>
        <w:jc w:val="center"/>
      </w:pPr>
      <w:r>
        <w:rPr>
          <w:rFonts w:ascii="Arial" w:hAnsi="Arial" w:eastAsia="仿宋" w:cs="Arial"/>
          <w:b/>
          <w:color w:val="8B4E30"/>
          <w:sz w:val="32"/>
        </w:rPr>
        <w:t>项目建设说明文档</w:t>
      </w:r>
    </w:p>
    <w:p>
      <w:pPr>
        <w:spacing w:after="160"/>
        <w:jc w:val="center"/>
      </w:pPr>
      <w:r>
        <w:rPr>
          <w:rFonts w:ascii="Arial" w:hAnsi="Arial" w:eastAsia="仿宋" w:cs="Arial"/>
          <w:color w:val="667085"/>
          <w:sz w:val="22"/>
        </w:rPr>
        <w:t>Pi Traffic Workspace  ·  v2.14.0</w:t>
      </w:r>
    </w:p>
    <w:p>
      <w:pPr>
        <w:spacing w:line="360" w:lineRule="auto" w:after="560"/>
        <w:jc w:val="center"/>
      </w:pPr>
      <w:r>
        <w:rPr>
          <w:rFonts w:ascii="Arial" w:hAnsi="Arial" w:eastAsia="仿宋" w:cs="Arial"/>
          <w:color w:val="667085"/>
          <w:sz w:val="21"/>
        </w:rPr>
        <w:t>案例对象：2025 年 8 月上海体育场重大活动</w:t>
        <w:br/>
        <w:t>编制日期：2026 年 7 月 30 日</w:t>
      </w:r>
    </w:p>
    <w:p>
      <w:pPr>
        <w:spacing w:before="480" w:after="0" w:line="360" w:lineRule="auto"/>
        <w:ind w:left="567" w:right="567"/>
        <w:shd w:fill="F7F2ED"/>
        <w:pBdr>
          <w:left w:val="single" w:sz="12" w:space="8" w:color="B96F46"/>
        </w:pBdr>
      </w:pPr>
      <w:r>
        <w:rPr>
          <w:rFonts w:ascii="Arial" w:hAnsi="Arial" w:eastAsia="仿宋" w:cs="Arial"/>
          <w:sz w:val="20"/>
        </w:rPr>
        <w:t>本报告依据当前仓库实现、受控数据资产说明、知识库索引和自动化测试结果编制，说明系统已经具备的能力、现阶段边界及交付方式。</w:t>
      </w:r>
    </w:p>
    <w:p>
      <w:r>
        <w:br w:type="page"/>
      </w:r>
    </w:p>
    <w:p>
      <w:pPr>
        <w:spacing w:after="200"/>
      </w:pPr>
      <w:r>
        <w:rPr>
          <w:rFonts w:ascii="Arial" w:hAnsi="Arial" w:eastAsia="仿宋" w:cs="Arial"/>
          <w:b/>
          <w:color w:val="8B4E30"/>
          <w:sz w:val="36"/>
        </w:rPr>
        <w:t>摘要</w:t>
      </w:r>
    </w:p>
    <w:p>
      <w:pPr/>
      <w:r>
        <w:rPr>
          <w:rFonts w:ascii="Arial" w:hAnsi="Arial" w:eastAsia="仿宋" w:cs="Arial"/>
        </w:rPr>
        <w:t>项目围绕重大活动交通保障中的数据分散、统计口径不一致、分析过程难复核和成果表达割裂等问题，建设了一套浏览器端智能体工作台。系统把原始交通数据治理、知识检索、交通问数、任务编排、地理可视化、可信引用和报告产出放在同一条受控链路中。当前案例聚焦上海体育场四场演唱会，覆盖公交、轨交、道路、网约车和气象等数据域。</w:t>
      </w:r>
    </w:p>
    <w:p>
      <w:pPr/>
      <w:r>
        <w:rPr>
          <w:rFonts w:ascii="Arial" w:hAnsi="Arial" w:eastAsia="仿宋" w:cs="Arial"/>
        </w:rPr>
        <w:t>系统中的“智能体集群”按功能分工组织，不采用多个模型自由对话的松散模式。数据问数、决策辅助、任务控制、知识检索、地图呈现和报告生成分别由明确的工具与 Skill 约束，统一通过版本化契约交换状态。这样既保留模型对复杂问题的理解能力，也把数据访问、文件范围、地图渲染和引用来源控制在可检查的边界内。</w:t>
      </w:r>
    </w:p>
    <w:p>
      <w:pPr>
        <w:keepLines/>
        <w:spacing w:before="120" w:after="160" w:line="324" w:lineRule="auto"/>
        <w:ind w:left="85" w:right="85"/>
        <w:shd w:fill="F7F2ED"/>
        <w:pBdr>
          <w:left w:val="single" w:sz="12" w:space="8" w:color="B96F46"/>
        </w:pBdr>
      </w:pPr>
      <w:r>
        <w:rPr>
          <w:rFonts w:ascii="Arial" w:hAnsi="Arial" w:eastAsia="仿宋" w:cs="Arial"/>
          <w:b/>
          <w:color w:val="8B4E30"/>
        </w:rPr>
        <w:t>当前状态｜</w:t>
      </w:r>
      <w:r>
        <w:rPr>
          <w:rFonts w:ascii="Arial" w:hAnsi="Arial" w:eastAsia="仿宋" w:cs="Arial"/>
          <w:color w:val="202124"/>
        </w:rPr>
        <w:t>仓库版本为 v2.14.0。2026 年 7 月 30 日复核时，项目完整构建通过，默认自动化测试 70/70 通过；本地知识库含 38 份已验收文档、3,828 个节点和 3,363 条知识项。业务问数准确率和方案可用性尚未形成专家标注的独立测试集，因此报告不填写推测性百分比。</w:t>
      </w:r>
    </w:p>
    <w:p>
      <w:pPr>
        <w:pStyle w:val="2"/>
      </w:pPr>
      <w:r>
        <w:rPr>
          <w:rFonts w:ascii="Arial" w:hAnsi="Arial" w:eastAsia="仿宋" w:cs="Arial"/>
        </w:rPr>
        <w:t>目录</w:t>
      </w:r>
    </w:p>
    <w:p>
      <w:pPr>
        <w:spacing w:after="80"/>
      </w:pPr>
      <w:r>
        <w:rPr>
          <w:rFonts w:ascii="Arial" w:hAnsi="Arial" w:eastAsia="仿宋" w:cs="Arial"/>
          <w:sz w:val="21"/>
        </w:rPr>
        <w:t>一、总体概述</w:t>
      </w:r>
    </w:p>
    <w:p>
      <w:pPr>
        <w:spacing w:after="80"/>
      </w:pPr>
      <w:r>
        <w:rPr>
          <w:rFonts w:ascii="Arial" w:hAnsi="Arial" w:eastAsia="仿宋" w:cs="Arial"/>
          <w:sz w:val="21"/>
        </w:rPr>
        <w:t>二、总体技术架构</w:t>
      </w:r>
    </w:p>
    <w:p>
      <w:pPr>
        <w:spacing w:after="80"/>
      </w:pPr>
      <w:r>
        <w:rPr>
          <w:rFonts w:ascii="Arial" w:hAnsi="Arial" w:eastAsia="仿宋" w:cs="Arial"/>
          <w:sz w:val="21"/>
        </w:rPr>
        <w:t>三、数据接入与治理</w:t>
      </w:r>
    </w:p>
    <w:p>
      <w:pPr>
        <w:spacing w:after="80"/>
      </w:pPr>
      <w:r>
        <w:rPr>
          <w:rFonts w:ascii="Arial" w:hAnsi="Arial" w:eastAsia="仿宋" w:cs="Arial"/>
          <w:sz w:val="21"/>
        </w:rPr>
        <w:t>四、核心功能设计</w:t>
      </w:r>
    </w:p>
    <w:p>
      <w:pPr>
        <w:spacing w:after="80"/>
      </w:pPr>
      <w:r>
        <w:rPr>
          <w:rFonts w:ascii="Arial" w:hAnsi="Arial" w:eastAsia="仿宋" w:cs="Arial"/>
          <w:sz w:val="21"/>
        </w:rPr>
        <w:t>五、系统交互与成果呈现设计</w:t>
      </w:r>
    </w:p>
    <w:p>
      <w:pPr>
        <w:spacing w:after="80"/>
      </w:pPr>
      <w:r>
        <w:rPr>
          <w:rFonts w:ascii="Arial" w:hAnsi="Arial" w:eastAsia="仿宋" w:cs="Arial"/>
          <w:sz w:val="21"/>
        </w:rPr>
        <w:t>六、可拓展性与安全合规设计</w:t>
      </w:r>
    </w:p>
    <w:p>
      <w:pPr>
        <w:spacing w:after="80"/>
      </w:pPr>
      <w:r>
        <w:rPr>
          <w:rFonts w:ascii="Arial" w:hAnsi="Arial" w:eastAsia="仿宋" w:cs="Arial"/>
          <w:sz w:val="21"/>
        </w:rPr>
        <w:t>七、结果展示</w:t>
      </w:r>
    </w:p>
    <w:p>
      <w:pPr>
        <w:spacing w:after="80"/>
      </w:pPr>
      <w:r>
        <w:rPr>
          <w:rFonts w:ascii="Arial" w:hAnsi="Arial" w:eastAsia="仿宋" w:cs="Arial"/>
          <w:sz w:val="21"/>
        </w:rPr>
        <w:t>八、成果交付清单</w:t>
      </w:r>
    </w:p>
    <w:p>
      <w:pPr>
        <w:pStyle w:val="1"/>
      </w:pPr>
      <w:r>
        <w:rPr>
          <w:rFonts w:ascii="Arial" w:hAnsi="Arial" w:eastAsia="仿宋" w:cs="Arial"/>
        </w:rPr>
        <w:t>一、总体概述</w:t>
      </w:r>
    </w:p>
    <w:p>
      <w:pPr>
        <w:pStyle w:val="2"/>
      </w:pPr>
      <w:r>
        <w:rPr>
          <w:rFonts w:ascii="Arial" w:hAnsi="Arial" w:eastAsia="仿宋" w:cs="Arial"/>
        </w:rPr>
        <w:t>1.1 建设目标与定位</w:t>
      </w:r>
    </w:p>
    <w:p>
      <w:pPr/>
      <w:r>
        <w:rPr>
          <w:rFonts w:ascii="Arial" w:hAnsi="Arial" w:eastAsia="仿宋" w:cs="Arial"/>
        </w:rPr>
        <w:t>本项目面向重大活动交通态势研判和保障辅助决策，建设目标是把交通数据、业务知识和分析工具组织成一个可持续使用的智能体工作台。业务人员可以用自然语言提出问题，系统在受控数据范围内完成查询、对比、制图和报告整理，并保留所用数据、步骤和结果文件，便于复核。</w:t>
      </w:r>
    </w:p>
    <w:p>
      <w:pPr/>
      <w:r>
        <w:rPr>
          <w:rFonts w:ascii="Arial" w:hAnsi="Arial" w:eastAsia="仿宋" w:cs="Arial"/>
        </w:rPr>
        <w:t>业务定位是“分析辅助”，不替代交通管理部门的指挥权限和审批程序。系统主要服务活动前研判、活动中态势观察和活动后复盘：活动前识别重点时段、站点和交通方式；活动中按已有数据更新趋势和空间分布；活动后对比活动日与对照日，沉淀可复用的查询与报告。</w:t>
      </w:r>
    </w:p>
    <w:p>
      <w:pPr/>
      <w:r>
        <w:rPr>
          <w:rFonts w:ascii="Arial" w:hAnsi="Arial" w:eastAsia="仿宋" w:cs="Arial"/>
        </w:rPr>
        <w:t>核心价值体现在三个方面：一是统一订单、端点、客流和道路状态等统计口径；二是把查询、任务、地图和引用变成可恢复、可审计的结构化状态；三是让分析结果直接进入地图、表格和报告，减少人工在多个工具之间复制粘贴。</w:t>
      </w:r>
    </w:p>
    <w:p>
      <w:pPr>
        <w:pStyle w:val="2"/>
      </w:pPr>
      <w:r>
        <w:rPr>
          <w:rFonts w:ascii="Arial" w:hAnsi="Arial" w:eastAsia="仿宋" w:cs="Arial"/>
        </w:rPr>
        <w:t>1.2 场景描述与能力边界</w:t>
      </w:r>
    </w:p>
    <w:p>
      <w:pPr/>
      <w:r>
        <w:rPr>
          <w:rFonts w:ascii="Arial" w:hAnsi="Arial" w:eastAsia="仿宋" w:cs="Arial"/>
        </w:rPr>
        <w:t>当前版本已覆盖以下业务场景：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交通问数：按日期、时段、线路、站点、道路发布段、订单方向等条件查询，并进行活动日/非活动日对比。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空间分析：发布经校验的 GeoJSON，绘制场馆、轨交网络、客流热点和重要枢纽，支持图层增量更新与选择交互。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辅助研判：围绕演前集结、演出中运行和散场疏散组织证据，形成风险点、建议动作和待确认事项。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知识检索与引用：从法规、标准、预案、案例和项目资料中定位原文节点，登记可核查引用。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成果交付：在同一会话中预览代码、表格、图片和 Markdown 报告，并将报告导出为 PDF。</w:t>
      </w:r>
    </w:p>
    <w:p>
      <w:pPr>
        <w:keepLines/>
        <w:spacing w:before="120" w:after="160" w:line="324" w:lineRule="auto"/>
        <w:ind w:left="85" w:right="85"/>
        <w:shd w:fill="EEF4F7"/>
        <w:pBdr>
          <w:left w:val="single" w:sz="12" w:space="8" w:color="B96F46"/>
        </w:pBdr>
      </w:pPr>
      <w:r>
        <w:rPr>
          <w:rFonts w:ascii="Arial" w:hAnsi="Arial" w:eastAsia="仿宋" w:cs="Arial"/>
          <w:b/>
          <w:color w:val="8B4E30"/>
        </w:rPr>
        <w:t>边界｜</w:t>
      </w:r>
      <w:r>
        <w:rPr>
          <w:rFonts w:ascii="Arial" w:hAnsi="Arial" w:eastAsia="仿宋" w:cs="Arial"/>
          <w:color w:val="202124"/>
        </w:rPr>
        <w:t>现有交通事实数据约覆盖 21—22 天，适合活动期短周期对比，不支持季节性或年度趋势推断；轨交客流仅覆盖10 个物理站，道路只有 89 个发布段且缺少几何，天气网格坐标系尚未确认。系统不直接下发封路、停运、限流、警力部署等指令，相关建议必须由业务部门核实并按法定程序审批。</w:t>
      </w:r>
    </w:p>
    <w:p>
      <w:pPr>
        <w:pStyle w:val="2"/>
      </w:pPr>
      <w:r>
        <w:rPr>
          <w:rFonts w:ascii="Arial" w:hAnsi="Arial" w:eastAsia="仿宋" w:cs="Arial"/>
        </w:rPr>
        <w:t>1.3 核心成果亮点概述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4100"/>
        <w:gridCol w:w="2750"/>
      </w:tblGrid>
      <w:tr>
        <w:trPr>
          <w:tblHeader w:val="true"/>
        </w:trPr>
        <w:tc>
          <w:tcPr>
            <w:tcW w:type="dxa" w:w="14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8"/>
              </w:rPr>
              <w:t>成果</w:t>
            </w:r>
          </w:p>
        </w:tc>
        <w:tc>
          <w:tcPr>
            <w:tcW w:type="dxa" w:w="41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8"/>
              </w:rPr>
              <w:t>已完成内容</w:t>
            </w:r>
          </w:p>
        </w:tc>
        <w:tc>
          <w:tcPr>
            <w:tcW w:type="dxa" w:w="27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8"/>
              </w:rPr>
              <w:t>带来的作用</w:t>
            </w:r>
          </w:p>
        </w:tc>
      </w:tr>
      <w:tr>
        <w:tc>
          <w:tcPr>
            <w:tcW w:type="dxa" w:w="1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7"/>
              </w:rPr>
              <w:t>受控工作台</w:t>
            </w:r>
          </w:p>
        </w:tc>
        <w:tc>
          <w:tcPr>
            <w:tcW w:type="dxa" w:w="41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多会话、任务看板、结构化询问、文件与地图工作区</w:t>
            </w:r>
          </w:p>
        </w:tc>
        <w:tc>
          <w:tcPr>
            <w:tcW w:type="dxa" w:w="2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分析过程可观察、可恢复</w:t>
            </w:r>
          </w:p>
        </w:tc>
      </w:tr>
      <w:tr>
        <w:tc>
          <w:tcPr>
            <w:tcW w:type="dxa" w:w="14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7"/>
              </w:rPr>
              <w:t>统一数据资产</w:t>
            </w:r>
          </w:p>
        </w:tc>
        <w:tc>
          <w:tcPr>
            <w:tcW w:type="dxa" w:w="41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6 个分域 SQLite；统一订单、端点与三级集市</w:t>
            </w:r>
          </w:p>
        </w:tc>
        <w:tc>
          <w:tcPr>
            <w:tcW w:type="dxa" w:w="2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减少重复统计和大表扫描</w:t>
            </w:r>
          </w:p>
        </w:tc>
      </w:tr>
      <w:tr>
        <w:tc>
          <w:tcPr>
            <w:tcW w:type="dxa" w:w="1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7"/>
              </w:rPr>
              <w:t>声明式地图</w:t>
            </w:r>
          </w:p>
        </w:tc>
        <w:tc>
          <w:tcPr>
            <w:tcW w:type="dxa" w:w="41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14 类受控命令、版本快照、会话隔离资源</w:t>
            </w:r>
          </w:p>
        </w:tc>
        <w:tc>
          <w:tcPr>
            <w:tcW w:type="dxa" w:w="2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模型输出不转化为可执行前端代码</w:t>
            </w:r>
          </w:p>
        </w:tc>
      </w:tr>
      <w:tr>
        <w:tc>
          <w:tcPr>
            <w:tcW w:type="dxa" w:w="14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7"/>
              </w:rPr>
              <w:t>可信引用</w:t>
            </w:r>
          </w:p>
        </w:tc>
        <w:tc>
          <w:tcPr>
            <w:tcW w:type="dxa" w:w="41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知识 ID、页码/节点定位、SHA-256 原件校验</w:t>
            </w:r>
          </w:p>
        </w:tc>
        <w:tc>
          <w:tcPr>
            <w:tcW w:type="dxa" w:w="2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结论能够回到来源复核</w:t>
            </w:r>
          </w:p>
        </w:tc>
      </w:tr>
      <w:tr>
        <w:tc>
          <w:tcPr>
            <w:tcW w:type="dxa" w:w="1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7"/>
              </w:rPr>
              <w:t>工程验证</w:t>
            </w:r>
          </w:p>
        </w:tc>
        <w:tc>
          <w:tcPr>
            <w:tcW w:type="dxa" w:w="41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构建、70 项默认测试、React 浏览器冒烟</w:t>
            </w:r>
          </w:p>
        </w:tc>
        <w:tc>
          <w:tcPr>
            <w:tcW w:type="dxa" w:w="2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关键协议和安全边界有回归检查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仿宋" w:cs="Arial"/>
        </w:rPr>
        <w:t>数据治理阶段还识别出两类容易造成结论偏差的问题。其一，场馆到/离场订单与网约车上/下车订单有97.48% 重叠，项目将四个来源合并为一单一行，避免把同一订单重复计数。其二，场馆订单端点混有多种坐标系，其中离场数据约 4 万条可回连为 WGS84；系统按订单证据继承坐标系，不对全部记录做同一种转换，从源头避免二次偏移。</w:t>
      </w:r>
    </w:p>
    <w:p>
      <w:pPr>
        <w:pStyle w:val="1"/>
      </w:pPr>
      <w:r>
        <w:rPr>
          <w:rFonts w:ascii="Arial" w:hAnsi="Arial" w:eastAsia="仿宋" w:cs="Arial"/>
        </w:rPr>
        <w:t>二、总体技术架构</w:t>
      </w:r>
    </w:p>
    <w:p>
      <w:pPr>
        <w:pStyle w:val="2"/>
      </w:pPr>
      <w:r>
        <w:rPr>
          <w:rFonts w:ascii="Arial" w:hAnsi="Arial" w:eastAsia="仿宋" w:cs="Arial"/>
        </w:rPr>
        <w:t>2.1 总体架构设计</w:t>
      </w:r>
    </w:p>
    <w:p>
      <w:pPr/>
      <w:r>
        <w:rPr>
          <w:rFonts w:ascii="Arial" w:hAnsi="Arial" w:eastAsia="仿宋" w:cs="Arial"/>
        </w:rPr>
        <w:t>系统采用单仓库、模块化单体架构。Pi Extension 负责产生受控工具结果，Node 服务管理会话、资源和权限边界，React 工作台负责交互与展示；数据通过只读查询脚本进入分析链路，地图数据先发布为会话资源，再由浏览器中的MapLibre 运行时渲染。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274574"/>
            <wp:docPr id="1" name="Picture 1" descr="图 1  总体技术架构与数据流" title="图 1  总体技术架构与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  总体技术架构与数据流</w:t>
      </w:r>
    </w:p>
    <w:p>
      <w:pPr/>
      <w:r>
        <w:rPr>
          <w:rFonts w:ascii="Arial" w:hAnsi="Arial" w:eastAsia="仿宋" w:cs="Arial"/>
        </w:rPr>
        <w:t>一次典型任务的流程为：用户提出问题 → 智能体拆分任务并确认必要条件 → 查询数据和知识 → 校验时间、口径、单位与空间范围 → 生成文字、表格或 GeoJSON → 工作台呈现结果并登记产物。会话、任务、地图和引用都带schemaVersion/revision，浏览器不依赖自然语言猜测状态。</w:t>
      </w:r>
    </w:p>
    <w:p>
      <w:pPr>
        <w:pStyle w:val="2"/>
      </w:pPr>
      <w:r>
        <w:rPr>
          <w:rFonts w:ascii="Arial" w:hAnsi="Arial" w:eastAsia="仿宋" w:cs="Arial"/>
        </w:rPr>
        <w:t>2.2 分层模块说明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2650"/>
        <w:gridCol w:w="4350"/>
      </w:tblGrid>
      <w:tr>
        <w:trPr>
          <w:tblHeader w:val="true"/>
        </w:trPr>
        <w:tc>
          <w:tcPr>
            <w:tcW w:type="dxa" w:w="13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6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主要模块</w:t>
            </w:r>
          </w:p>
        </w:tc>
        <w:tc>
          <w:tcPr>
            <w:tcW w:type="dxa" w:w="43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职责与边界</w:t>
            </w:r>
          </w:p>
        </w:tc>
      </w:tr>
      <w:tr>
        <w:tc>
          <w:tcPr>
            <w:tcW w:type="dxa" w:w="13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交互呈现层</w:t>
            </w:r>
          </w:p>
        </w:tc>
        <w:tc>
          <w:tcPr>
            <w:tcW w:type="dxa" w:w="26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React AppShell、Conversation、Task Board、Workspace、Geo Workspace</w:t>
            </w:r>
          </w:p>
        </w:tc>
        <w:tc>
          <w:tcPr>
            <w:tcW w:type="dxa" w:w="4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接收结构化状态；负责对话、任务、文件、报告和地图展示，不直接访问交通数据库。</w:t>
            </w:r>
          </w:p>
        </w:tc>
      </w:tr>
      <w:tr>
        <w:tc>
          <w:tcPr>
            <w:tcW w:type="dxa" w:w="13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智能体编排层</w:t>
            </w:r>
          </w:p>
        </w:tc>
        <w:tc>
          <w:tcPr>
            <w:tcW w:type="dxa" w:w="26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Pi Runtime、Session、Task Mode、Extension UI</w:t>
            </w:r>
          </w:p>
        </w:tc>
        <w:tc>
          <w:tcPr>
            <w:tcW w:type="dxa" w:w="43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管理模型会话、流式消息、任务步骤和结构化询问；不同任务使用独立工作目录。</w:t>
            </w:r>
          </w:p>
        </w:tc>
      </w:tr>
      <w:tr>
        <w:tc>
          <w:tcPr>
            <w:tcW w:type="dxa" w:w="13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能力与知识层</w:t>
            </w:r>
          </w:p>
        </w:tc>
        <w:tc>
          <w:tcPr>
            <w:tcW w:type="dxa" w:w="26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交通数据 Skill、知识检索 Skill、Geo Skill、图表模板</w:t>
            </w:r>
          </w:p>
        </w:tc>
        <w:tc>
          <w:tcPr>
            <w:tcW w:type="dxa" w:w="4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规定查询顺序、指标口径、空间规则、引用流程和输出格式。</w:t>
            </w:r>
          </w:p>
        </w:tc>
      </w:tr>
      <w:tr>
        <w:tc>
          <w:tcPr>
            <w:tcW w:type="dxa" w:w="13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服务与契约层</w:t>
            </w:r>
          </w:p>
        </w:tc>
        <w:tc>
          <w:tcPr>
            <w:tcW w:type="dxa" w:w="26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Node Server、WebSocket、Session/Task/Geo/Citation Contracts</w:t>
            </w:r>
          </w:p>
        </w:tc>
        <w:tc>
          <w:tcPr>
            <w:tcW w:type="dxa" w:w="43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处理鉴权、会话投影、文件与资源边界、版本诊断和浏览器通信。</w:t>
            </w:r>
          </w:p>
        </w:tc>
      </w:tr>
      <w:tr>
        <w:tc>
          <w:tcPr>
            <w:tcW w:type="dxa" w:w="13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受控数据层</w:t>
            </w:r>
          </w:p>
        </w:tc>
        <w:tc>
          <w:tcPr>
            <w:tcW w:type="dxa" w:w="26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catalog/common/road/metro/bus/ridehail</w:t>
            </w:r>
          </w:p>
        </w:tc>
        <w:tc>
          <w:tcPr>
            <w:tcW w:type="dxa" w:w="4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提供分域事实、维度和集市；查询接口为只读，数据库与原始文件不随 Git 分发。</w:t>
            </w:r>
          </w:p>
        </w:tc>
      </w:tr>
    </w:tbl>
    <w:p>
      <w:pPr>
        <w:spacing w:after="0"/>
      </w:pPr>
    </w:p>
    <w:p>
      <w:pPr>
        <w:pStyle w:val="2"/>
      </w:pPr>
      <w:r>
        <w:rPr>
          <w:rFonts w:ascii="Arial" w:hAnsi="Arial" w:eastAsia="仿宋" w:cs="Arial"/>
        </w:rPr>
        <w:t>2.3 核心技术选型清单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50"/>
        <w:gridCol w:w="2600"/>
        <w:gridCol w:w="4350"/>
      </w:tblGrid>
      <w:tr>
        <w:trPr>
          <w:tblHeader w:val="true"/>
        </w:trPr>
        <w:tc>
          <w:tcPr>
            <w:tcW w:type="dxa" w:w="13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6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选型</w:t>
            </w:r>
          </w:p>
        </w:tc>
        <w:tc>
          <w:tcPr>
            <w:tcW w:type="dxa" w:w="43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采用原因/当前用途</w:t>
            </w:r>
          </w:p>
        </w:tc>
      </w:tr>
      <w:tr>
        <w:tc>
          <w:tcPr>
            <w:tcW w:type="dxa" w:w="1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智能体运行时</w:t>
            </w:r>
          </w:p>
        </w:tc>
        <w:tc>
          <w:tcPr>
            <w:tcW w:type="dxa" w:w="26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Pi Coding Agent 0.80.10；模型可配置</w:t>
            </w:r>
          </w:p>
        </w:tc>
        <w:tc>
          <w:tcPr>
            <w:tcW w:type="dxa" w:w="4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保留工具调用、会话恢复和思考等级；不绑定单一模型供应商。</w:t>
            </w:r>
          </w:p>
        </w:tc>
      </w:tr>
      <w:tr>
        <w:tc>
          <w:tcPr>
            <w:tcW w:type="dxa" w:w="13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服务端</w:t>
            </w:r>
          </w:p>
        </w:tc>
        <w:tc>
          <w:tcPr>
            <w:tcW w:type="dxa" w:w="26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Node.js + TypeScript + ws</w:t>
            </w:r>
          </w:p>
        </w:tc>
        <w:tc>
          <w:tcPr>
            <w:tcW w:type="dxa" w:w="43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管理 Pi RPC 子进程、HTTP/WebSocket、会话与受控资源。</w:t>
            </w:r>
          </w:p>
        </w:tc>
      </w:tr>
      <w:tr>
        <w:tc>
          <w:tcPr>
            <w:tcW w:type="dxa" w:w="1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前端</w:t>
            </w:r>
          </w:p>
        </w:tc>
        <w:tc>
          <w:tcPr>
            <w:tcW w:type="dxa" w:w="26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React 19 + Vite 8 + Tailwind CSS 4 + Radix Dialog</w:t>
            </w:r>
          </w:p>
        </w:tc>
        <w:tc>
          <w:tcPr>
            <w:tcW w:type="dxa" w:w="4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构建单一生产工作台，支持响应式布局、对话与多工作区交互。</w:t>
            </w:r>
          </w:p>
        </w:tc>
      </w:tr>
      <w:tr>
        <w:tc>
          <w:tcPr>
            <w:tcW w:type="dxa" w:w="13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地图</w:t>
            </w:r>
          </w:p>
        </w:tc>
        <w:tc>
          <w:tcPr>
            <w:tcW w:type="dxa" w:w="26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MapLibre GL 5.24 + GeoScene v1</w:t>
            </w:r>
          </w:p>
        </w:tc>
        <w:tc>
          <w:tcPr>
            <w:tcW w:type="dxa" w:w="43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浏览器按声明式场景渲染，支持增量图层、样式、视角和选择。</w:t>
            </w:r>
          </w:p>
        </w:tc>
      </w:tr>
      <w:tr>
        <w:tc>
          <w:tcPr>
            <w:tcW w:type="dxa" w:w="1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内容呈现</w:t>
            </w:r>
          </w:p>
        </w:tc>
        <w:tc>
          <w:tcPr>
            <w:tcW w:type="dxa" w:w="26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Markdown、Mermaid、KaTeX、Shiki、XLSX</w:t>
            </w:r>
          </w:p>
        </w:tc>
        <w:tc>
          <w:tcPr>
            <w:tcW w:type="dxa" w:w="4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呈现报告、流程图、公式、代码和表格文件。</w:t>
            </w:r>
          </w:p>
        </w:tc>
      </w:tr>
      <w:tr>
        <w:tc>
          <w:tcPr>
            <w:tcW w:type="dxa" w:w="13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数据</w:t>
            </w:r>
          </w:p>
        </w:tc>
        <w:tc>
          <w:tcPr>
            <w:tcW w:type="dxa" w:w="26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6 个 SQLite 分域库 + Python 3.10 查询/治理脚本</w:t>
            </w:r>
          </w:p>
        </w:tc>
        <w:tc>
          <w:tcPr>
            <w:tcW w:type="dxa" w:w="43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便于本地受控部署、分域管理、只读查询和可重复构建。</w:t>
            </w:r>
          </w:p>
        </w:tc>
      </w:tr>
      <w:tr>
        <w:tc>
          <w:tcPr>
            <w:tcW w:type="dxa" w:w="1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质量验证</w:t>
            </w:r>
          </w:p>
        </w:tc>
        <w:tc>
          <w:tcPr>
            <w:tcW w:type="dxa" w:w="26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node:test + Playwright + fake Pi/真实 Pi 冒烟</w:t>
            </w:r>
          </w:p>
        </w:tc>
        <w:tc>
          <w:tcPr>
            <w:tcW w:type="dxa" w:w="43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覆盖契约、会话、鉴权、地图、任务、引用和浏览器交互。</w:t>
            </w:r>
          </w:p>
        </w:tc>
      </w:tr>
    </w:tbl>
    <w:p>
      <w:pPr>
        <w:spacing w:after="0"/>
      </w:pPr>
    </w:p>
    <w:p>
      <w:pPr>
        <w:pStyle w:val="1"/>
      </w:pPr>
      <w:r>
        <w:rPr>
          <w:rFonts w:ascii="Arial" w:hAnsi="Arial" w:eastAsia="仿宋" w:cs="Arial"/>
        </w:rPr>
        <w:t>三、数据接入与治理</w:t>
      </w:r>
    </w:p>
    <w:p>
      <w:pPr>
        <w:pStyle w:val="2"/>
      </w:pPr>
      <w:r>
        <w:rPr>
          <w:rFonts w:ascii="Arial" w:hAnsi="Arial" w:eastAsia="仿宋" w:cs="Arial"/>
        </w:rPr>
        <w:t>3.1 基础数据</w:t>
      </w:r>
    </w:p>
    <w:p>
      <w:pPr/>
      <w:r>
        <w:rPr>
          <w:rFonts w:ascii="Arial" w:hAnsi="Arial" w:eastAsia="仿宋" w:cs="Arial"/>
        </w:rPr>
        <w:t>基础数据由组织方提供，原始文件保存在外部受控目录，不进入项目仓库。现有 10 个 CSV/XLSX 文件约 165 MB，按业务内容归为 9 类，治理后登记 32 个源数据集、2,534,244 条源记录。所有业务时间按 Asia/Shanghai 解释。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50"/>
        <w:gridCol w:w="3250"/>
        <w:gridCol w:w="3800"/>
      </w:tblGrid>
      <w:tr>
        <w:trPr>
          <w:tblHeader w:val="true"/>
        </w:trPr>
        <w:tc>
          <w:tcPr>
            <w:tcW w:type="dxa" w:w="12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数据域</w:t>
            </w:r>
          </w:p>
        </w:tc>
        <w:tc>
          <w:tcPr>
            <w:tcW w:type="dxa" w:w="32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原始内容与规模</w:t>
            </w:r>
          </w:p>
        </w:tc>
        <w:tc>
          <w:tcPr>
            <w:tcW w:type="dxa" w:w="38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主要使用方式</w:t>
            </w:r>
          </w:p>
        </w:tc>
      </w:tr>
      <w:tr>
        <w:tc>
          <w:tcPr>
            <w:tcW w:type="dxa" w:w="1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网约车</w:t>
            </w:r>
          </w:p>
        </w:tc>
        <w:tc>
          <w:tcPr>
            <w:tcW w:type="dxa" w:w="3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上车 641,134 行；下车 634,446 行</w:t>
            </w:r>
          </w:p>
        </w:tc>
        <w:tc>
          <w:tcPr>
            <w:tcW w:type="dxa" w:w="38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订单端点趋势、OD、空间热点</w:t>
            </w:r>
          </w:p>
        </w:tc>
      </w:tr>
      <w:tr>
        <w:tc>
          <w:tcPr>
            <w:tcW w:type="dxa" w:w="12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场馆订单</w:t>
            </w:r>
          </w:p>
        </w:tc>
        <w:tc>
          <w:tcPr>
            <w:tcW w:type="dxa" w:w="32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离场约 57.9 万；到场约 57.2 万</w:t>
            </w:r>
          </w:p>
        </w:tc>
        <w:tc>
          <w:tcPr>
            <w:tcW w:type="dxa" w:w="38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补齐完整行程，派生场馆到/离场关系</w:t>
            </w:r>
          </w:p>
        </w:tc>
      </w:tr>
      <w:tr>
        <w:tc>
          <w:tcPr>
            <w:tcW w:type="dxa" w:w="1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公交客流</w:t>
            </w:r>
          </w:p>
        </w:tc>
        <w:tc>
          <w:tcPr>
            <w:tcW w:type="dxa" w:w="3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55,339 条有效半小时记录；75 条有客流线路</w:t>
            </w:r>
          </w:p>
        </w:tc>
        <w:tc>
          <w:tcPr>
            <w:tcW w:type="dxa" w:w="38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线路小时/日趋势与活动日对比</w:t>
            </w:r>
          </w:p>
        </w:tc>
      </w:tr>
      <w:tr>
        <w:tc>
          <w:tcPr>
            <w:tcW w:type="dxa" w:w="12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公交静态</w:t>
            </w:r>
          </w:p>
        </w:tc>
        <w:tc>
          <w:tcPr>
            <w:tcW w:type="dxa" w:w="32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77 条官方线路、1,272 个来源站点、4,080 条站序关系</w:t>
            </w:r>
          </w:p>
        </w:tc>
        <w:tc>
          <w:tcPr>
            <w:tcW w:type="dxa" w:w="38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线路与站点发现、地图上下文</w:t>
            </w:r>
          </w:p>
        </w:tc>
      </w:tr>
      <w:tr>
        <w:tc>
          <w:tcPr>
            <w:tcW w:type="dxa" w:w="1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轨交客流</w:t>
            </w:r>
          </w:p>
        </w:tc>
        <w:tc>
          <w:tcPr>
            <w:tcW w:type="dxa" w:w="3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7,975 条线路—站点—小时记录；10 个物理站</w:t>
            </w:r>
          </w:p>
        </w:tc>
        <w:tc>
          <w:tcPr>
            <w:tcW w:type="dxa" w:w="38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站点小时客流和高峰时段</w:t>
            </w:r>
          </w:p>
        </w:tc>
      </w:tr>
      <w:tr>
        <w:tc>
          <w:tcPr>
            <w:tcW w:type="dxa" w:w="12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轨交静态</w:t>
            </w:r>
          </w:p>
        </w:tc>
        <w:tc>
          <w:tcPr>
            <w:tcW w:type="dxa" w:w="32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20 条统一线路、420 个物理站、1,200 条方向站序</w:t>
            </w:r>
          </w:p>
        </w:tc>
        <w:tc>
          <w:tcPr>
            <w:tcW w:type="dxa" w:w="38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接近全网的线路与站点专题图</w:t>
            </w:r>
          </w:p>
        </w:tc>
      </w:tr>
      <w:tr>
        <w:tc>
          <w:tcPr>
            <w:tcW w:type="dxa" w:w="1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道路</w:t>
            </w:r>
          </w:p>
        </w:tc>
        <w:tc>
          <w:tcPr>
            <w:tcW w:type="dxa" w:w="3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21,775 条状态变化事件；89 个发布段</w:t>
            </w:r>
          </w:p>
        </w:tc>
        <w:tc>
          <w:tcPr>
            <w:tcW w:type="dxa" w:w="38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按小时/日统计畅通、拥挤、拥堵持续时间</w:t>
            </w:r>
          </w:p>
        </w:tc>
      </w:tr>
      <w:tr>
        <w:tc>
          <w:tcPr>
            <w:tcW w:type="dxa" w:w="12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气象</w:t>
            </w:r>
          </w:p>
        </w:tc>
        <w:tc>
          <w:tcPr>
            <w:tcW w:type="dxa" w:w="32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11,384 条观测；8 个徐汇网格</w:t>
            </w:r>
          </w:p>
        </w:tc>
        <w:tc>
          <w:tcPr>
            <w:tcW w:type="dxa" w:w="38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按网格名称和小时关联温度、降雨</w:t>
            </w:r>
          </w:p>
        </w:tc>
      </w:tr>
      <w:tr>
        <w:tc>
          <w:tcPr>
            <w:tcW w:type="dxa" w:w="1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活动背景</w:t>
            </w:r>
          </w:p>
        </w:tc>
        <w:tc>
          <w:tcPr>
            <w:tcW w:type="dxa" w:w="32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4 个演出日期</w:t>
            </w:r>
          </w:p>
        </w:tc>
        <w:tc>
          <w:tcPr>
            <w:tcW w:type="dxa" w:w="38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标记活动日；演出时刻只作为分析背景</w:t>
            </w:r>
          </w:p>
        </w:tc>
      </w:tr>
    </w:tbl>
    <w:p>
      <w:pPr>
        <w:spacing w:after="0"/>
      </w:pPr>
    </w:p>
    <w:p>
      <w:pPr>
        <w:keepLines/>
        <w:spacing w:before="120" w:after="160" w:line="324" w:lineRule="auto"/>
        <w:ind w:left="85" w:right="85"/>
        <w:shd w:fill="F7F2ED"/>
        <w:pBdr>
          <w:left w:val="single" w:sz="12" w:space="8" w:color="B96F46"/>
        </w:pBdr>
      </w:pPr>
      <w:r>
        <w:rPr>
          <w:rFonts w:ascii="Arial" w:hAnsi="Arial" w:eastAsia="仿宋" w:cs="Arial"/>
          <w:b/>
          <w:color w:val="8B4E30"/>
        </w:rPr>
        <w:t>口径说明｜</w:t>
      </w:r>
      <w:r>
        <w:rPr>
          <w:rFonts w:ascii="Arial" w:hAnsi="Arial" w:eastAsia="仿宋" w:cs="Arial"/>
          <w:color w:val="202124"/>
        </w:rPr>
        <w:t>公交交易数、轨交进出站人次、网约车订单、端点事件和场馆事件属于不同量纲，只能并列或分别比较，不得相加为“综合总客流”。15:00—19:00、19:00—22:00、22:00—24:00 是案例分析窗口，不能替代官方开门、演出和管控时刻。</w:t>
      </w:r>
    </w:p>
    <w:p>
      <w:pPr>
        <w:pStyle w:val="2"/>
      </w:pPr>
      <w:r>
        <w:rPr>
          <w:rFonts w:ascii="Arial" w:hAnsi="Arial" w:eastAsia="仿宋" w:cs="Arial"/>
        </w:rPr>
        <w:t>3.2 补充数据</w:t>
      </w:r>
    </w:p>
    <w:p>
      <w:pPr/>
      <w:r>
        <w:rPr>
          <w:rFonts w:ascii="Arial" w:hAnsi="Arial" w:eastAsia="仿宋" w:cs="Arial"/>
        </w:rPr>
        <w:t>项目补充数据用于统一时空基准和提供分析上下文，不与交通事实记录混为一体。补充项包括：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时间维度：日期、分钟、15 分钟桶和小时字段，支撑跨数据域对齐。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空间维度：上海体育场 WGS84 点位，以及上海火车站、上海南站、上海虹桥站、上海浦东国际机场 4 个重要枢纽 POI。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静态网络：轨交线路/站点和公交线路/站序，用于空间展示和实体匹配；静态覆盖不等同于客流覆盖。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活动日程：2025 年 8 月 20、21、23、24 日 19:00—22:00 的案例背景，维护在 Skill 中，不写入订单事实。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交通保障知识库：当前有 38 份已验收文档，覆盖法规制度、技术标准、作业预案、案例实践、项目数据和方法研究。</w:t>
      </w:r>
    </w:p>
    <w:p>
      <w:pPr/>
      <w:r>
        <w:rPr>
          <w:rFonts w:ascii="Arial" w:hAnsi="Arial" w:eastAsia="仿宋" w:cs="Arial"/>
        </w:rPr>
        <w:t>补充信息均标注来源或确认方式。用户确认的 POI 坐标按 EPSG:4326 使用；尚未确认坐标系的天气网格保留为UNKNOWN，不参与距离、缓冲或最近邻计算。活动日程用于解释和筛选，不改变原始订单日期或事实口径。</w:t>
      </w:r>
    </w:p>
    <w:p>
      <w:pPr>
        <w:pStyle w:val="2"/>
      </w:pPr>
      <w:r>
        <w:rPr>
          <w:rFonts w:ascii="Arial" w:hAnsi="Arial" w:eastAsia="仿宋" w:cs="Arial"/>
        </w:rPr>
        <w:t>3.3 数据处理方式</w:t>
      </w:r>
    </w:p>
    <w:p>
      <w:pPr>
        <w:pStyle w:val="ReportNumber"/>
        <w:numPr>
          <w:ilvl w:val="0"/>
          <w:numId w:val="4"/>
        </w:numPr>
      </w:pPr>
      <w:r>
        <w:rPr>
          <w:rFonts w:ascii="Arial" w:hAnsi="Arial" w:eastAsia="仿宋" w:cs="Arial"/>
        </w:rPr>
        <w:t>发现与登记：读取原始文件结构、行数、日期范围和字段类型，登记来源、哈希、覆盖范围与血缘。</w:t>
      </w:r>
    </w:p>
    <w:p>
      <w:pPr>
        <w:pStyle w:val="ReportNumber"/>
        <w:numPr>
          <w:ilvl w:val="0"/>
          <w:numId w:val="4"/>
        </w:numPr>
      </w:pPr>
      <w:r>
        <w:rPr>
          <w:rFonts w:ascii="Arial" w:hAnsi="Arial" w:eastAsia="仿宋" w:cs="Arial"/>
        </w:rPr>
        <w:t>字段标准化：统一 date_key、minute_key、slot_15_start、hour 等时间字段；数值去除千分位；实体使用统一 line_id、station_id、order_hash 和 geo_key。</w:t>
      </w:r>
    </w:p>
    <w:p>
      <w:pPr>
        <w:pStyle w:val="ReportNumber"/>
        <w:numPr>
          <w:ilvl w:val="0"/>
          <w:numId w:val="4"/>
        </w:numPr>
      </w:pPr>
      <w:r>
        <w:rPr>
          <w:rFonts w:ascii="Arial" w:hAnsi="Arial" w:eastAsia="仿宋" w:cs="Arial"/>
        </w:rPr>
        <w:t>订单去重：四类订单来源按原始订单号的 SHA-256 哈希合并为 std_trip，一单一行；9 条来源冲突保留标记，不静默覆盖。</w:t>
      </w:r>
    </w:p>
    <w:p>
      <w:pPr>
        <w:pStyle w:val="ReportNumber"/>
        <w:numPr>
          <w:ilvl w:val="0"/>
          <w:numId w:val="4"/>
        </w:numPr>
      </w:pPr>
      <w:r>
        <w:rPr>
          <w:rFonts w:ascii="Arial" w:hAnsi="Arial" w:eastAsia="仿宋" w:cs="Arial"/>
        </w:rPr>
        <w:t>坐标治理：已知 GCJ-02、BD-09 和 EPSG:32651 转为 WGS84；场馆端点优先按订单回连证据继承 CRS；未知记录保留但禁用精确空间分析。</w:t>
      </w:r>
    </w:p>
    <w:p>
      <w:pPr>
        <w:pStyle w:val="ReportNumber"/>
        <w:numPr>
          <w:ilvl w:val="0"/>
          <w:numId w:val="4"/>
        </w:numPr>
      </w:pPr>
      <w:r>
        <w:rPr>
          <w:rFonts w:ascii="Arial" w:hAnsi="Arial" w:eastAsia="仿宋" w:cs="Arial"/>
        </w:rPr>
        <w:t>事实与集市：从标准层派生订单、端点、场馆事件等事实，再生成 15 分钟、小时和日集市；问数优先查询集市。</w:t>
      </w:r>
    </w:p>
    <w:p>
      <w:pPr>
        <w:pStyle w:val="ReportNumber"/>
        <w:numPr>
          <w:ilvl w:val="0"/>
          <w:numId w:val="4"/>
        </w:numPr>
      </w:pPr>
      <w:r>
        <w:rPr>
          <w:rFonts w:ascii="Arial" w:hAnsi="Arial" w:eastAsia="仿宋" w:cs="Arial"/>
        </w:rPr>
        <w:t>质量断言：检查唯一性、坐标范围、集市加和恒等式、发布 CRS、时间范围和错误级质量规则；当前错误级规则全部通过。</w:t>
      </w:r>
    </w:p>
    <w:p>
      <w:pPr>
        <w:pStyle w:val="ReportNumber"/>
        <w:numPr>
          <w:ilvl w:val="0"/>
          <w:numId w:val="4"/>
        </w:numPr>
      </w:pPr>
      <w:r>
        <w:rPr>
          <w:rFonts w:ascii="Arial" w:hAnsi="Arial" w:eastAsia="仿宋" w:cs="Arial"/>
        </w:rPr>
        <w:t>隐私控制：资产库不保存原始订单号；地点文本属于敏感字段，不作为默认输出；原始数据与生成数据库不进入 Git。</w:t>
      </w:r>
    </w:p>
    <w:p>
      <w:pPr>
        <w:pStyle w:val="2"/>
      </w:pPr>
      <w:r>
        <w:rPr>
          <w:rFonts w:ascii="Arial" w:hAnsi="Arial" w:eastAsia="仿宋" w:cs="Arial"/>
        </w:rPr>
        <w:t>3.4 资产化结果与质量状态</w:t>
      </w:r>
    </w:p>
    <w:p>
      <w:pPr/>
      <w:r>
        <w:rPr>
          <w:rFonts w:ascii="Arial" w:hAnsi="Arial" w:eastAsia="仿宋" w:cs="Arial"/>
        </w:rPr>
        <w:t>治理结果已沉淀为可复用的标准层、事实层和分域集市，核心资产如下。规模取自当前受控数据包，交付时应随数据版本一并复核。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1900"/>
        <w:gridCol w:w="3950"/>
      </w:tblGrid>
      <w:tr>
        <w:trPr>
          <w:tblHeader w:val="true"/>
        </w:trPr>
        <w:tc>
          <w:tcPr>
            <w:tcW w:type="dxa" w:w="24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8"/>
              </w:rPr>
              <w:t>核心资产</w:t>
            </w:r>
          </w:p>
        </w:tc>
        <w:tc>
          <w:tcPr>
            <w:tcW w:type="dxa" w:w="19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8"/>
              </w:rPr>
              <w:t>当前规模</w:t>
            </w:r>
          </w:p>
        </w:tc>
        <w:tc>
          <w:tcPr>
            <w:tcW w:type="dxa" w:w="39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8"/>
              </w:rPr>
              <w:t>粒度/用途</w:t>
            </w:r>
          </w:p>
        </w:tc>
      </w:tr>
      <w:tr>
        <w:tc>
          <w:tcPr>
            <w:tcW w:type="dxa" w:w="2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ridehail.std_trip</w:t>
            </w:r>
          </w:p>
        </w:tc>
        <w:tc>
          <w:tcPr>
            <w:tcW w:type="dxa" w:w="1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1,206,222 行</w:t>
            </w:r>
          </w:p>
        </w:tc>
        <w:tc>
          <w:tcPr>
            <w:tcW w:type="dxa" w:w="39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唯一订单标准层，一单一行</w:t>
            </w:r>
          </w:p>
        </w:tc>
      </w:tr>
      <w:tr>
        <w:tc>
          <w:tcPr>
            <w:tcW w:type="dxa" w:w="24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ridehail.fact_trip</w:t>
            </w:r>
          </w:p>
        </w:tc>
        <w:tc>
          <w:tcPr>
            <w:tcW w:type="dxa" w:w="1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1,206,193 行</w:t>
            </w:r>
          </w:p>
        </w:tc>
        <w:tc>
          <w:tcPr>
            <w:tcW w:type="dxa" w:w="39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有效订单事实，支持 OD 和行程时长</w:t>
            </w:r>
          </w:p>
        </w:tc>
      </w:tr>
      <w:tr>
        <w:tc>
          <w:tcPr>
            <w:tcW w:type="dxa" w:w="2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ridehail.fact_ridehail_event</w:t>
            </w:r>
          </w:p>
        </w:tc>
        <w:tc>
          <w:tcPr>
            <w:tcW w:type="dxa" w:w="1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2,269,148 个端点</w:t>
            </w:r>
          </w:p>
        </w:tc>
        <w:tc>
          <w:tcPr>
            <w:tcW w:type="dxa" w:w="39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上/下车端点与热点分析</w:t>
            </w:r>
          </w:p>
        </w:tc>
      </w:tr>
      <w:tr>
        <w:tc>
          <w:tcPr>
            <w:tcW w:type="dxa" w:w="24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ridehail.fact_venue_trip</w:t>
            </w:r>
          </w:p>
        </w:tc>
        <w:tc>
          <w:tcPr>
            <w:tcW w:type="dxa" w:w="1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1,054,805 行</w:t>
            </w:r>
          </w:p>
        </w:tc>
        <w:tc>
          <w:tcPr>
            <w:tcW w:type="dxa" w:w="39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场馆关联唯一订单</w:t>
            </w:r>
          </w:p>
        </w:tc>
      </w:tr>
      <w:tr>
        <w:tc>
          <w:tcPr>
            <w:tcW w:type="dxa" w:w="2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ridehail.fact_venue_event</w:t>
            </w:r>
          </w:p>
        </w:tc>
        <w:tc>
          <w:tcPr>
            <w:tcW w:type="dxa" w:w="1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1,150,668 行</w:t>
            </w:r>
          </w:p>
        </w:tc>
        <w:tc>
          <w:tcPr>
            <w:tcW w:type="dxa" w:w="39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场馆到场/离场事件</w:t>
            </w:r>
          </w:p>
        </w:tc>
      </w:tr>
      <w:tr>
        <w:tc>
          <w:tcPr>
            <w:tcW w:type="dxa" w:w="24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7"/>
              </w:rPr>
              <w:t>分域集市</w:t>
            </w:r>
          </w:p>
        </w:tc>
        <w:tc>
          <w:tcPr>
            <w:tcW w:type="dxa" w:w="1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15 分钟/小时/日</w:t>
            </w:r>
          </w:p>
        </w:tc>
        <w:tc>
          <w:tcPr>
            <w:tcW w:type="dxa" w:w="39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7"/>
              </w:rPr>
              <w:t>趋势查询与跨域对齐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仿宋" w:cs="Arial"/>
        </w:rPr>
        <w:t>质量规则当前无错误级异常。保留的警告包括：1 个轨交物理站缺少 WGS84 坐标、1,684 个统一订单端点坐标系未知、29 个场馆关联订单坐标超出上海合理范围，以及 9 个场馆来源订单存在核心字段冲突。这些记录均按规则保留、排除或标记，没有静默修正。</w:t>
      </w:r>
    </w:p>
    <w:p>
      <w:pPr>
        <w:pStyle w:val="1"/>
      </w:pPr>
      <w:r>
        <w:rPr>
          <w:rFonts w:ascii="Arial" w:hAnsi="Arial" w:eastAsia="仿宋" w:cs="Arial"/>
        </w:rPr>
        <w:t>四、核心功能设计</w:t>
      </w:r>
    </w:p>
    <w:p>
      <w:pPr>
        <w:pStyle w:val="2"/>
      </w:pPr>
      <w:r>
        <w:rPr>
          <w:rFonts w:ascii="Arial" w:hAnsi="Arial" w:eastAsia="仿宋" w:cs="Arial"/>
        </w:rPr>
        <w:t>4.1 智能问数智能体设计</w:t>
      </w:r>
    </w:p>
    <w:p>
      <w:pPr/>
      <w:r>
        <w:rPr>
          <w:rFonts w:ascii="Arial" w:hAnsi="Arial" w:eastAsia="仿宋" w:cs="Arial"/>
        </w:rPr>
        <w:t>智能问数采用“语义解释—资产发现—受控查询—结果校验—结果表达”的链路。模型先识别用户问题中的交通方式、实体、时间范围、空间范围和指标单位；存在歧义时，通过结构化询问确认“订单/事件”“站点/线路”“活动日/演出时段”等概念。</w:t>
      </w:r>
    </w:p>
    <w:p>
      <w:pPr>
        <w:pStyle w:val="ReportNumber"/>
        <w:numPr>
          <w:ilvl w:val="0"/>
          <w:numId w:val="5"/>
        </w:numPr>
      </w:pPr>
      <w:r>
        <w:rPr>
          <w:rFonts w:ascii="Arial" w:hAnsi="Arial" w:eastAsia="仿宋" w:cs="Arial"/>
        </w:rPr>
        <w:t>资产发现：读取 coverage、business、order-sources 和 metrics 等元数据，先确认可用日期、实体与指标，再选择表。</w:t>
      </w:r>
    </w:p>
    <w:p>
      <w:pPr>
        <w:pStyle w:val="ReportNumber"/>
        <w:numPr>
          <w:ilvl w:val="0"/>
          <w:numId w:val="5"/>
        </w:numPr>
      </w:pPr>
      <w:r>
        <w:rPr>
          <w:rFonts w:ascii="Arial" w:hAnsi="Arial" w:eastAsia="仿宋" w:cs="Arial"/>
        </w:rPr>
        <w:t>Text-to-SQL：SQL 必须使用 catalog/common/road/metro/bus/ridehail 全限定对象名，优先使用已治理集市；查询脚本只允许只读语句、校验对象名并限制返回行数。</w:t>
      </w:r>
    </w:p>
    <w:p>
      <w:pPr>
        <w:pStyle w:val="ReportNumber"/>
        <w:numPr>
          <w:ilvl w:val="0"/>
          <w:numId w:val="5"/>
        </w:numPr>
      </w:pPr>
      <w:r>
        <w:rPr>
          <w:rFonts w:ascii="Arial" w:hAnsi="Arial" w:eastAsia="仿宋" w:cs="Arial"/>
        </w:rPr>
        <w:t>多表与复杂条件：以统一日期、线路、站点或订单键连接；跨域只在共同覆盖日期上比较；嵌套查询用于基准期、排名和差异计算。</w:t>
      </w:r>
    </w:p>
    <w:p>
      <w:pPr>
        <w:pStyle w:val="ReportNumber"/>
        <w:numPr>
          <w:ilvl w:val="0"/>
          <w:numId w:val="5"/>
        </w:numPr>
      </w:pPr>
      <w:r>
        <w:rPr>
          <w:rFonts w:ascii="Arial" w:hAnsi="Arial" w:eastAsia="仿宋" w:cs="Arial"/>
        </w:rPr>
        <w:t>校验纠错：核对结果行数、单位、时间粒度、求和关系和 CRS 状态；场馆事件与唯一订单分开统计，UNKNOWN 坐标不进入精确空间计算。</w:t>
      </w:r>
    </w:p>
    <w:p>
      <w:pPr>
        <w:pStyle w:val="ReportNumber"/>
        <w:numPr>
          <w:ilvl w:val="0"/>
          <w:numId w:val="5"/>
        </w:numPr>
      </w:pPr>
      <w:r>
        <w:rPr>
          <w:rFonts w:ascii="Arial" w:hAnsi="Arial" w:eastAsia="仿宋" w:cs="Arial"/>
        </w:rPr>
        <w:t>Text-to-Chart：根据数据形态选择折线、分组柱状、差值、热力或地图；图表脚本与原始查询结果一同保存在任务目录。</w:t>
      </w:r>
    </w:p>
    <w:p>
      <w:pPr>
        <w:pStyle w:val="ReportNumber"/>
        <w:numPr>
          <w:ilvl w:val="0"/>
          <w:numId w:val="5"/>
        </w:numPr>
      </w:pPr>
      <w:r>
        <w:rPr>
          <w:rFonts w:ascii="Arial" w:hAnsi="Arial" w:eastAsia="仿宋" w:cs="Arial"/>
        </w:rPr>
        <w:t>异常兜底：数据包缺失、对象不存在、覆盖不足或连续校验失败时停止推断，明确说明缺少的数据和可行的补充方式。</w:t>
      </w:r>
    </w:p>
    <w:p>
      <w:pPr>
        <w:keepLines/>
        <w:spacing w:before="120" w:after="160" w:line="324" w:lineRule="auto"/>
        <w:ind w:left="85" w:right="85"/>
        <w:shd w:fill="EEF4F7"/>
        <w:pBdr>
          <w:left w:val="single" w:sz="12" w:space="8" w:color="B96F46"/>
        </w:pBdr>
      </w:pPr>
      <w:r>
        <w:rPr>
          <w:rFonts w:ascii="Arial" w:hAnsi="Arial" w:eastAsia="仿宋" w:cs="Arial"/>
          <w:b/>
          <w:color w:val="8B4E30"/>
        </w:rPr>
        <w:t>实现约束｜</w:t>
      </w:r>
      <w:r>
        <w:rPr>
          <w:rFonts w:ascii="Arial" w:hAnsi="Arial" w:eastAsia="仿宋" w:cs="Arial"/>
          <w:color w:val="202124"/>
        </w:rPr>
        <w:t>模型不直接获得数据库写权限，也不根据表名猜测业务口径。查询必须经过资产说明和只读脚本；当问题超出现有覆盖范围时，系统应返回边界说明，而不是补造一个看似完整的答案。</w:t>
      </w:r>
    </w:p>
    <w:p>
      <w:pPr>
        <w:pStyle w:val="2"/>
      </w:pPr>
      <w:r>
        <w:rPr>
          <w:rFonts w:ascii="Arial" w:hAnsi="Arial" w:eastAsia="仿宋" w:cs="Arial"/>
        </w:rPr>
        <w:t>4.2 辅助决策智能体设计</w:t>
      </w:r>
    </w:p>
    <w:p>
      <w:pPr/>
      <w:r>
        <w:rPr>
          <w:rFonts w:ascii="Arial" w:hAnsi="Arial" w:eastAsia="仿宋" w:cs="Arial"/>
        </w:rPr>
        <w:t>辅助决策智能体建立在问数和知识检索之上。复杂任务开启任务模式后，先拆分 2—8 个可检查步骤，再围绕活动阶段组织分析：演前关注到场需求和公共交通承载，演出中关注道路与站点运行，散场关注离场波峰、接驳条件和跨方式衔接。</w:t>
      </w:r>
    </w:p>
    <w:p>
      <w:pPr/>
      <w:r>
        <w:rPr>
          <w:rFonts w:ascii="Arial" w:hAnsi="Arial" w:eastAsia="仿宋" w:cs="Arial"/>
        </w:rPr>
        <w:t>推理过程不作为最终结论直接外显，但每项判断都需对应可见证据：使用了哪些事实或集市、比较了哪些日期、指标单位是什么、是否包含补齐端点、空间分析排除了哪些 UNKNOWN 记录。需要法规或预案依据时，系统先按文档类别筛选，再定位到条款/节点和 PDF 页，不用目录摘要替代正式依据。</w:t>
      </w:r>
    </w:p>
    <w:p>
      <w:pPr/>
      <w:r>
        <w:rPr>
          <w:rFonts w:ascii="Arial" w:hAnsi="Arial" w:eastAsia="仿宋" w:cs="Arial"/>
        </w:rPr>
        <w:t>方案输出按“态势摘要—证据与判断—建议措施—执行条件—风险与待确认事项”组织。道路管制、轨交限流、停运、警力部署、响应等级和对外发布等内容只形成待业务确认的建议，不生成自动执行命令。</w:t>
      </w:r>
    </w:p>
    <w:p>
      <w:pPr>
        <w:pStyle w:val="2"/>
      </w:pPr>
      <w:r>
        <w:rPr>
          <w:rFonts w:ascii="Arial" w:hAnsi="Arial" w:eastAsia="仿宋" w:cs="Arial"/>
        </w:rPr>
        <w:t>4.3 其他智能体设计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50"/>
        <w:gridCol w:w="3500"/>
        <w:gridCol w:w="3050"/>
      </w:tblGrid>
      <w:tr>
        <w:trPr>
          <w:tblHeader w:val="true"/>
        </w:trPr>
        <w:tc>
          <w:tcPr>
            <w:tcW w:type="dxa" w:w="17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功能角色</w:t>
            </w:r>
          </w:p>
        </w:tc>
        <w:tc>
          <w:tcPr>
            <w:tcW w:type="dxa" w:w="35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0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协作接口</w:t>
            </w:r>
          </w:p>
        </w:tc>
      </w:tr>
      <w:tr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任务控制智能体</w:t>
            </w:r>
          </w:p>
        </w:tc>
        <w:tc>
          <w:tcPr>
            <w:tcW w:type="dxa" w:w="35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创建/修订任务，更新步骤状态，必要时发起结构化询问</w:t>
            </w:r>
          </w:p>
        </w:tc>
        <w:tc>
          <w:tcPr>
            <w:tcW w:type="dxa" w:w="30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tau_task、tau_ask_user、TaskSnapshot</w:t>
            </w:r>
          </w:p>
        </w:tc>
      </w:tr>
      <w:tr>
        <w:tc>
          <w:tcPr>
            <w:tcW w:type="dxa" w:w="1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数据治理与查询智能体</w:t>
            </w:r>
          </w:p>
        </w:tc>
        <w:tc>
          <w:tcPr>
            <w:tcW w:type="dxa" w:w="35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发现数据资产、执行只读 SQL、说明口径和覆盖</w:t>
            </w:r>
          </w:p>
        </w:tc>
        <w:tc>
          <w:tcPr>
            <w:tcW w:type="dxa" w:w="30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shanghai-traffic-data-assets、query_assets.py</w:t>
            </w:r>
          </w:p>
        </w:tc>
      </w:tr>
      <w:tr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知识检索与引用智能体</w:t>
            </w:r>
          </w:p>
        </w:tc>
        <w:tc>
          <w:tcPr>
            <w:tcW w:type="dxa" w:w="35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检索法规、标准、预案和案例，登记来源与原件定位</w:t>
            </w:r>
          </w:p>
        </w:tc>
        <w:tc>
          <w:tcPr>
            <w:tcW w:type="dxa" w:w="30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search-traffic-assurance-knowledge、tau_cite</w:t>
            </w:r>
          </w:p>
        </w:tc>
      </w:tr>
      <w:tr>
        <w:tc>
          <w:tcPr>
            <w:tcW w:type="dxa" w:w="1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地理可视化智能体</w:t>
            </w:r>
          </w:p>
        </w:tc>
        <w:tc>
          <w:tcPr>
            <w:tcW w:type="dxa" w:w="35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发布 GeoJSON，按命令增量构建地图并解释图层</w:t>
            </w:r>
          </w:p>
        </w:tc>
        <w:tc>
          <w:tcPr>
            <w:tcW w:type="dxa" w:w="30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publish_geodata、present_visualization、GeoScene</w:t>
            </w:r>
          </w:p>
        </w:tc>
      </w:tr>
      <w:tr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报告与产物智能体</w:t>
            </w:r>
          </w:p>
        </w:tc>
        <w:tc>
          <w:tcPr>
            <w:tcW w:type="dxa" w:w="35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整理 Markdown、表格、图片和报告，登记本次产出</w:t>
            </w:r>
          </w:p>
        </w:tc>
        <w:tc>
          <w:tcPr>
            <w:tcW w:type="dxa" w:w="30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会话文件接口、报告预览与 PDF 导出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仿宋" w:cs="Arial"/>
        </w:rPr>
        <w:t>这些角色可以由同一个模型会话按工具权限依次承担，也可以分布在多个独立会话中并行开展。工作台负责隔离任务目录和会话状态，不让一个会话直接读取另一个会话的 Geo 资源。</w:t>
      </w:r>
    </w:p>
    <w:p>
      <w:pPr>
        <w:pStyle w:val="2"/>
      </w:pPr>
      <w:r>
        <w:rPr>
          <w:rFonts w:ascii="Arial" w:hAnsi="Arial" w:eastAsia="仿宋" w:cs="Arial"/>
        </w:rPr>
        <w:t>4.4 可解释性与可追溯设计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过程可见：对话中显示流式回复、思考阶段和工具时间线；完成后工具卡可折叠，但命令与结果仍可查看。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状态可恢复：会话历史以 JSONL 和投影快照恢复；任务和地图使用版本号防止旧状态覆盖新状态。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数据可追溯：目录库记录来源、覆盖、字段、指标、质量规则和构建信息；订单冲突与 CRS 推定保留标志。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引用可核查：知识来源登记稳定 ID、页码/节点和原件哈希；原件缺失或变化时显示异常状态。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产物可复查：SQL 结果、CSV/XLSX、图片、GeoJSON 和 Markdown 报告保存在会话目录并由界面预览。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错误可诊断：共享契约对未知版本、非法 revision、路径越界和不安全 Markdown 返回结构化错误。</w:t>
      </w:r>
    </w:p>
    <w:p>
      <w:pPr>
        <w:pStyle w:val="1"/>
      </w:pPr>
      <w:r>
        <w:rPr>
          <w:rFonts w:ascii="Arial" w:hAnsi="Arial" w:eastAsia="仿宋" w:cs="Arial"/>
        </w:rPr>
        <w:t>五、系统交互与成果呈现设计</w:t>
      </w:r>
    </w:p>
    <w:p>
      <w:pPr>
        <w:pStyle w:val="2"/>
      </w:pPr>
      <w:r>
        <w:rPr>
          <w:rFonts w:ascii="Arial" w:hAnsi="Arial" w:eastAsia="仿宋" w:cs="Arial"/>
        </w:rPr>
        <w:t>5.1 对话交互系统设计</w:t>
      </w:r>
    </w:p>
    <w:p>
      <w:pPr/>
      <w:r>
        <w:rPr>
          <w:rFonts w:ascii="Arial" w:hAnsi="Arial" w:eastAsia="仿宋" w:cs="Arial"/>
        </w:rPr>
        <w:t>工作台以交通任务为入口。首页提供交通问数、地图分析和报告生成三个主要入口；用户创建任务后，可在左侧切换历史会话，在顶部选择模型，在对话区查看分析过程，并通过右侧或浮动工作区打开任务、文件和地图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887779"/>
            <wp:docPr id="2" name="Picture 2" descr="图 2  Pi Traffic Workspace 交通任务首页" title="图 2  Pi Traffic Workspace 交通任务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7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  Pi Traffic Workspace 交通任务首页</w:t>
      </w:r>
    </w:p>
    <w:p>
      <w:pPr/>
      <w:r>
        <w:rPr>
          <w:rFonts w:ascii="Arial" w:hAnsi="Arial" w:eastAsia="仿宋" w:cs="Arial"/>
        </w:rPr>
        <w:t>多会话管理支持创建、切换、恢复和关闭任务，历史会话按最近对话时间排序。任务模式关闭时不注入任务工具；开启后，首个任务自动显示看板。信息不足时，智能体使用确认、单选、短文本或长文本询问，用户取消不会被视为批准。</w:t>
      </w:r>
    </w:p>
    <w:p>
      <w:pPr/>
      <w:r>
        <w:rPr>
          <w:rFonts w:ascii="Arial" w:hAnsi="Arial" w:eastAsia="仿宋" w:cs="Arial"/>
        </w:rPr>
        <w:t>界面采用响应式布局。桌面端可以拖动对话与地图的分隔条，键盘可调节，双击恢复默认宽度；移动端将地图放入独立抽屉。输入框把附件、任务模式和发送操作收拢在同一工具栏，无文字和附件时禁用发送。</w:t>
      </w:r>
    </w:p>
    <w:p>
      <w:pPr>
        <w:pStyle w:val="2"/>
      </w:pPr>
      <w:r>
        <w:rPr>
          <w:rFonts w:ascii="Arial" w:hAnsi="Arial" w:eastAsia="仿宋" w:cs="Arial"/>
        </w:rPr>
        <w:t>5.2 结果呈现设计</w:t>
      </w:r>
    </w:p>
    <w:p>
      <w:pPr/>
      <w:r>
        <w:rPr>
          <w:rFonts w:ascii="Arial" w:hAnsi="Arial" w:eastAsia="仿宋" w:cs="Arial"/>
        </w:rPr>
        <w:t>结果按照用途分别呈现：结论和依据留在对话区，步骤状态进入任务看板，空间结果进入地图，代码、表格、图片和报告进入文件工作区。Markdown 支持表格、公式、流程图、代码高亮和受控相对图片；报告可在浏览器预览并下载为 PDF。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634603"/>
            <wp:docPr id="3" name="Picture 3" descr="图 3  上海体育场周边轨交网络与任务执行过程" title="图 3  上海体育场周边轨交网络与任务执行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-analysis-transit-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4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  上海体育场周边轨交网络与任务执行过程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633165"/>
            <wp:docPr id="4" name="Picture 4" descr="图 4  网约车下车热度、重要场站与轨交线路叠加分析" title="图 4  网约车下车热度、重要场站与轨交线路叠加分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-analysis-demand-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  网约车下车热度、重要场站与轨交线路叠加分析</w:t>
      </w:r>
    </w:p>
    <w:p>
      <w:pPr/>
      <w:r>
        <w:rPr>
          <w:rFonts w:ascii="Arial" w:hAnsi="Arial" w:eastAsia="仿宋" w:cs="Arial"/>
        </w:rPr>
        <w:t>地图采用“先分析、后发布、再呈现”的流程。publish_geodata 对 GeoJSON 的路径、大小、要素数、坐标和 ID进行检查；present_visualization 只接受白名单命令。浏览器持续复用同一 visualizationId，新增图层或修改样式不会重建整张地图，并保留用户本地设置的图层显隐状态。</w:t>
      </w:r>
    </w:p>
    <w:p>
      <w:pPr>
        <w:pStyle w:val="1"/>
      </w:pPr>
      <w:r>
        <w:rPr>
          <w:rFonts w:ascii="Arial" w:hAnsi="Arial" w:eastAsia="仿宋" w:cs="Arial"/>
        </w:rPr>
        <w:t>六、可拓展性与安全合规设计</w:t>
      </w:r>
    </w:p>
    <w:p>
      <w:pPr>
        <w:pStyle w:val="2"/>
      </w:pPr>
      <w:r>
        <w:rPr>
          <w:rFonts w:ascii="Arial" w:hAnsi="Arial" w:eastAsia="仿宋" w:cs="Arial"/>
        </w:rPr>
        <w:t>6.1 系统可拓展性设计</w:t>
      </w:r>
    </w:p>
    <w:p>
      <w:pPr/>
      <w:r>
        <w:rPr>
          <w:rFonts w:ascii="Arial" w:hAnsi="Arial" w:eastAsia="仿宋" w:cs="Arial"/>
        </w:rPr>
        <w:t>系统通过分域数据、项目级 Skill 和共享契约实现扩展。新增活动或数据源时，不需要修改整套工作台，而是按固定流程补充源数据登记、标准字段、质量规则、分域事实/集市和对应参考文档。</w:t>
      </w:r>
    </w:p>
    <w:p>
      <w:pPr>
        <w:pStyle w:val="ReportNumber"/>
        <w:numPr>
          <w:ilvl w:val="0"/>
          <w:numId w:val="6"/>
        </w:numPr>
      </w:pPr>
      <w:r>
        <w:rPr>
          <w:rFonts w:ascii="Arial" w:hAnsi="Arial" w:eastAsia="仿宋" w:cs="Arial"/>
        </w:rPr>
        <w:t>新数据接入：盘点源文件与许可证/使用范围 → 建立字段映射和 CRS/时区规则 → 写入标准层 → 生成事实与集市 → 运行质量断言 → 更新目录与 Skill。</w:t>
      </w:r>
    </w:p>
    <w:p>
      <w:pPr>
        <w:pStyle w:val="ReportNumber"/>
        <w:numPr>
          <w:ilvl w:val="0"/>
          <w:numId w:val="6"/>
        </w:numPr>
      </w:pPr>
      <w:r>
        <w:rPr>
          <w:rFonts w:ascii="Arial" w:hAnsi="Arial" w:eastAsia="仿宋" w:cs="Arial"/>
        </w:rPr>
        <w:t>跨场景迁移：保留会话、任务、引用、地图和报告链路，替换活动维度、场馆 POI、数据资产和案例知识；不同项目继续使用独立任务目录。</w:t>
      </w:r>
    </w:p>
    <w:p>
      <w:pPr>
        <w:pStyle w:val="ReportNumber"/>
        <w:numPr>
          <w:ilvl w:val="0"/>
          <w:numId w:val="6"/>
        </w:numPr>
      </w:pPr>
      <w:r>
        <w:rPr>
          <w:rFonts w:ascii="Arial" w:hAnsi="Arial" w:eastAsia="仿宋" w:cs="Arial"/>
        </w:rPr>
        <w:t>模型升级：模型身份和 thinking 等能力由 RuntimeCapabilities 暴露；前端消费共享契约，不依赖某一模型的私有输出格式。</w:t>
      </w:r>
    </w:p>
    <w:p>
      <w:pPr>
        <w:pStyle w:val="ReportNumber"/>
        <w:numPr>
          <w:ilvl w:val="0"/>
          <w:numId w:val="6"/>
        </w:numPr>
      </w:pPr>
      <w:r>
        <w:rPr>
          <w:rFonts w:ascii="Arial" w:hAnsi="Arial" w:eastAsia="仿宋" w:cs="Arial"/>
        </w:rPr>
        <w:t>能力升级：新增工具通过 Extension 注册，通过版本化 Bridge 发布完整 Manifest；浏览器根据 capability 决定展示。</w:t>
      </w:r>
    </w:p>
    <w:p>
      <w:pPr>
        <w:pStyle w:val="ReportNumber"/>
        <w:numPr>
          <w:ilvl w:val="0"/>
          <w:numId w:val="6"/>
        </w:numPr>
      </w:pPr>
      <w:r>
        <w:rPr>
          <w:rFonts w:ascii="Arial" w:hAnsi="Arial" w:eastAsia="仿宋" w:cs="Arial"/>
        </w:rPr>
        <w:t>规模升级：当前 GeoJSON 上限为 5 万要素/20 MiB；只有数据规模达到瓶颈时再引入 MVT/PMTiles 或独立检索服务。</w:t>
      </w:r>
    </w:p>
    <w:p>
      <w:pPr/>
      <w:r>
        <w:rPr>
          <w:rFonts w:ascii="Arial" w:hAnsi="Arial" w:eastAsia="仿宋" w:cs="Arial"/>
        </w:rPr>
        <w:t>当前选择 SQLite 和模块化单体是基于本地受控部署、数据规模和交付周期的结果。它降低了部署复杂度，也便于离线演示。若后续进入多用户、高并发或实时流数据场景，应重新评估数据库、任务队列、权限中心和地图切片方案。</w:t>
      </w:r>
    </w:p>
    <w:p>
      <w:pPr>
        <w:pStyle w:val="2"/>
      </w:pPr>
      <w:r>
        <w:rPr>
          <w:rFonts w:ascii="Arial" w:hAnsi="Arial" w:eastAsia="仿宋" w:cs="Arial"/>
        </w:rPr>
        <w:t>6.2 数据安全与合规设计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4100"/>
        <w:gridCol w:w="2900"/>
      </w:tblGrid>
      <w:tr>
        <w:trPr>
          <w:tblHeader w:val="true"/>
        </w:trPr>
        <w:tc>
          <w:tcPr>
            <w:tcW w:type="dxa" w:w="13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控制面</w:t>
            </w:r>
          </w:p>
        </w:tc>
        <w:tc>
          <w:tcPr>
            <w:tcW w:type="dxa" w:w="41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已实施措施</w:t>
            </w:r>
          </w:p>
        </w:tc>
        <w:tc>
          <w:tcPr>
            <w:tcW w:type="dxa" w:w="29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3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数据最小化</w:t>
            </w:r>
          </w:p>
        </w:tc>
        <w:tc>
          <w:tcPr>
            <w:tcW w:type="dxa" w:w="41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原始文件和数据库不进入 Git；原订单号不分发</w:t>
            </w:r>
          </w:p>
        </w:tc>
        <w:tc>
          <w:tcPr>
            <w:tcW w:type="dxa" w:w="2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项目只使用治理后的必要字段和哈希键。</w:t>
            </w:r>
          </w:p>
        </w:tc>
      </w:tr>
      <w:tr>
        <w:tc>
          <w:tcPr>
            <w:tcW w:type="dxa" w:w="13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查询权限</w:t>
            </w:r>
          </w:p>
        </w:tc>
        <w:tc>
          <w:tcPr>
            <w:tcW w:type="dxa" w:w="41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SQLite query_only、只读 SQL 白名单、对象名与行数限制</w:t>
            </w:r>
          </w:p>
        </w:tc>
        <w:tc>
          <w:tcPr>
            <w:tcW w:type="dxa" w:w="2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降低误写、批量导出和注入风险。</w:t>
            </w:r>
          </w:p>
        </w:tc>
      </w:tr>
      <w:tr>
        <w:tc>
          <w:tcPr>
            <w:tcW w:type="dxa" w:w="13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隐私保护</w:t>
            </w:r>
          </w:p>
        </w:tc>
        <w:tc>
          <w:tcPr>
            <w:tcW w:type="dxa" w:w="41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订单号 SHA-256 假名化；地点文本不默认输出</w:t>
            </w:r>
          </w:p>
        </w:tc>
        <w:tc>
          <w:tcPr>
            <w:tcW w:type="dxa" w:w="2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哈希用于去重和连接，不用于恢复原始标识。</w:t>
            </w:r>
          </w:p>
        </w:tc>
      </w:tr>
      <w:tr>
        <w:tc>
          <w:tcPr>
            <w:tcW w:type="dxa" w:w="13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空间合规</w:t>
            </w:r>
          </w:p>
        </w:tc>
        <w:tc>
          <w:tcPr>
            <w:tcW w:type="dxa" w:w="41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发布坐标仅 EPSG:4326/UNKNOWN；未知 CRS 禁止精确空间分析</w:t>
            </w:r>
          </w:p>
        </w:tc>
        <w:tc>
          <w:tcPr>
            <w:tcW w:type="dxa" w:w="2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避免错误转换和不可靠的距离结论。</w:t>
            </w:r>
          </w:p>
        </w:tc>
      </w:tr>
      <w:tr>
        <w:tc>
          <w:tcPr>
            <w:tcW w:type="dxa" w:w="13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会话隔离</w:t>
            </w:r>
          </w:p>
        </w:tc>
        <w:tc>
          <w:tcPr>
            <w:tcW w:type="dxa" w:w="41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资源按会话目录和 session 绑定；阻断跨会话读取和路径穿越</w:t>
            </w:r>
          </w:p>
        </w:tc>
        <w:tc>
          <w:tcPr>
            <w:tcW w:type="dxa" w:w="2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文件、GeoJSON 和引用资源均受边界检查。</w:t>
            </w:r>
          </w:p>
        </w:tc>
      </w:tr>
      <w:tr>
        <w:tc>
          <w:tcPr>
            <w:tcW w:type="dxa" w:w="13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前端安全</w:t>
            </w:r>
          </w:p>
        </w:tc>
        <w:tc>
          <w:tcPr>
            <w:tcW w:type="dxa" w:w="41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声明式 GeoScene；Markdown 过滤；拒绝不安全 URL</w:t>
            </w:r>
          </w:p>
        </w:tc>
        <w:tc>
          <w:tcPr>
            <w:tcW w:type="dxa" w:w="2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模型输出不能作为 JavaScript/HTML/CSS 执行。</w:t>
            </w:r>
          </w:p>
        </w:tc>
      </w:tr>
      <w:tr>
        <w:tc>
          <w:tcPr>
            <w:tcW w:type="dxa" w:w="13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访问控制</w:t>
            </w:r>
          </w:p>
        </w:tc>
        <w:tc>
          <w:tcPr>
            <w:tcW w:type="dxa" w:w="41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签名 Cookie、同源 WebSocket、路径与资源鉴权</w:t>
            </w:r>
          </w:p>
        </w:tc>
        <w:tc>
          <w:tcPr>
            <w:tcW w:type="dxa" w:w="2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当前适合本机/受控演示环境。</w:t>
            </w:r>
          </w:p>
        </w:tc>
      </w:tr>
      <w:tr>
        <w:tc>
          <w:tcPr>
            <w:tcW w:type="dxa" w:w="13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可核查引用</w:t>
            </w:r>
          </w:p>
        </w:tc>
        <w:tc>
          <w:tcPr>
            <w:tcW w:type="dxa" w:w="41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知识和产物登记真实路径及 SHA-256</w:t>
            </w:r>
          </w:p>
        </w:tc>
        <w:tc>
          <w:tcPr>
            <w:tcW w:type="dxa" w:w="2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原件缺失或变化时不继续展示为有效来源。</w:t>
            </w:r>
          </w:p>
        </w:tc>
      </w:tr>
    </w:tbl>
    <w:p>
      <w:pPr>
        <w:spacing w:after="0"/>
      </w:pPr>
    </w:p>
    <w:p>
      <w:pPr>
        <w:keepLines/>
        <w:spacing w:before="120" w:after="160" w:line="324" w:lineRule="auto"/>
        <w:ind w:left="85" w:right="85"/>
        <w:shd w:fill="EEF4F7"/>
        <w:pBdr>
          <w:left w:val="single" w:sz="12" w:space="8" w:color="B96F46"/>
        </w:pBdr>
      </w:pPr>
      <w:r>
        <w:rPr>
          <w:rFonts w:ascii="Arial" w:hAnsi="Arial" w:eastAsia="仿宋" w:cs="Arial"/>
          <w:b/>
          <w:color w:val="8B4E30"/>
        </w:rPr>
        <w:t>后续加固｜</w:t>
      </w:r>
      <w:r>
        <w:rPr>
          <w:rFonts w:ascii="Arial" w:hAnsi="Arial" w:eastAsia="仿宋" w:cs="Arial"/>
          <w:color w:val="202124"/>
        </w:rPr>
        <w:t>正式进入局域网或多人试用前，应补充强制身份认证、角色与数据域授权、访问审计、会话配额、断线命令恢复、密钥托管和备份恢复方案；是否允许导出敏感明细需由数据管理部门单独审批。</w:t>
      </w:r>
    </w:p>
    <w:p>
      <w:pPr>
        <w:pStyle w:val="1"/>
      </w:pPr>
      <w:r>
        <w:rPr>
          <w:rFonts w:ascii="Arial" w:hAnsi="Arial" w:eastAsia="仿宋" w:cs="Arial"/>
        </w:rPr>
        <w:t>七、结果展示</w:t>
      </w:r>
    </w:p>
    <w:p>
      <w:pPr>
        <w:pStyle w:val="2"/>
      </w:pPr>
      <w:r>
        <w:rPr>
          <w:rFonts w:ascii="Arial" w:hAnsi="Arial" w:eastAsia="仿宋" w:cs="Arial"/>
        </w:rPr>
        <w:t>7.1 核心能力量化测试结果</w:t>
      </w:r>
    </w:p>
    <w:p>
      <w:pPr/>
      <w:r>
        <w:rPr>
          <w:rFonts w:ascii="Arial" w:hAnsi="Arial" w:eastAsia="仿宋" w:cs="Arial"/>
        </w:rPr>
        <w:t>本报告只填写已有自动化结果和可复核资产规模。当前测试主要证明工程链路、协议和安全边界按设计运行，不等同于业务问数准确率或保障方案采纳率。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1950"/>
        <w:gridCol w:w="4450"/>
      </w:tblGrid>
      <w:tr>
        <w:trPr>
          <w:tblHeader w:val="true"/>
        </w:trPr>
        <w:tc>
          <w:tcPr>
            <w:tcW w:type="dxa" w:w="19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9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4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范围/说明</w:t>
            </w:r>
          </w:p>
        </w:tc>
      </w:tr>
      <w:tr>
        <w:tc>
          <w:tcPr>
            <w:tcW w:type="dxa" w:w="1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项目完整构建</w:t>
            </w:r>
          </w:p>
        </w:tc>
        <w:tc>
          <w:tcPr>
            <w:tcW w:type="dxa" w:w="19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通过</w:t>
            </w:r>
          </w:p>
        </w:tc>
        <w:tc>
          <w:tcPr>
            <w:tcW w:type="dxa" w:w="4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Server、Public Kernel、React、Geo Runtime 均完成构建；复核日期 2026-07-30。</w:t>
            </w:r>
          </w:p>
        </w:tc>
      </w:tr>
      <w:tr>
        <w:tc>
          <w:tcPr>
            <w:tcW w:type="dxa" w:w="1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默认自动化测试</w:t>
            </w:r>
          </w:p>
        </w:tc>
        <w:tc>
          <w:tcPr>
            <w:tcW w:type="dxa" w:w="19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70/70 通过</w:t>
            </w:r>
          </w:p>
        </w:tc>
        <w:tc>
          <w:tcPr>
            <w:tcW w:type="dxa" w:w="44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覆盖契约、会话投影、HTTP/WebSocket、鉴权、任务、Geo、引用和 Markdown 安全。</w:t>
            </w:r>
          </w:p>
        </w:tc>
      </w:tr>
      <w:tr>
        <w:tc>
          <w:tcPr>
            <w:tcW w:type="dxa" w:w="1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React 浏览器冒烟</w:t>
            </w:r>
          </w:p>
        </w:tc>
        <w:tc>
          <w:tcPr>
            <w:tcW w:type="dxa" w:w="19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通过</w:t>
            </w:r>
          </w:p>
        </w:tc>
        <w:tc>
          <w:tcPr>
            <w:tcW w:type="dxa" w:w="4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真实 Node 服务 + fake Pi + Chrome，覆盖桌面/移动布局及关键交互。</w:t>
            </w:r>
          </w:p>
        </w:tc>
      </w:tr>
      <w:tr>
        <w:tc>
          <w:tcPr>
            <w:tcW w:type="dxa" w:w="1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数据质量规则</w:t>
            </w:r>
          </w:p>
        </w:tc>
        <w:tc>
          <w:tcPr>
            <w:tcW w:type="dxa" w:w="19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错误级全部通过</w:t>
            </w:r>
          </w:p>
        </w:tc>
        <w:tc>
          <w:tcPr>
            <w:tcW w:type="dxa" w:w="44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包括订单唯一性、发布 CRS、集市加和关系和坐标范围等。</w:t>
            </w:r>
          </w:p>
        </w:tc>
      </w:tr>
      <w:tr>
        <w:tc>
          <w:tcPr>
            <w:tcW w:type="dxa" w:w="1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知识库索引</w:t>
            </w:r>
          </w:p>
        </w:tc>
        <w:tc>
          <w:tcPr>
            <w:tcW w:type="dxa" w:w="19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38 文档 / 3,828 节点 / 3,363 知识项</w:t>
            </w:r>
          </w:p>
        </w:tc>
        <w:tc>
          <w:tcPr>
            <w:tcW w:type="dxa" w:w="44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仅统计 accepted 文档，覆盖 6 类知识。</w:t>
            </w:r>
          </w:p>
        </w:tc>
      </w:tr>
      <w:tr>
        <w:tc>
          <w:tcPr>
            <w:tcW w:type="dxa" w:w="1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业务准确率基准</w:t>
            </w:r>
          </w:p>
        </w:tc>
        <w:tc>
          <w:tcPr>
            <w:tcW w:type="dxa" w:w="19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待建立</w:t>
            </w:r>
          </w:p>
        </w:tc>
        <w:tc>
          <w:tcPr>
            <w:tcW w:type="dxa" w:w="44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尚无独立专家标注题集，不报告推测性准确率、召回率或方案可用率。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仿宋" w:cs="Arial"/>
        </w:rPr>
        <w:t>建议下一阶段建立不少于 100 道分层问数题和 10—20 个完整保障场景，由交通业务、数据和安全人员分别评分。问数题应覆盖口径辨析、单表、多表、时间窗口、空间条件和异常输入；方案评估至少记录事实正确性、依据有效性、措施可执行性、风险遗漏和是否需要人工改写。</w:t>
      </w:r>
    </w:p>
    <w:p>
      <w:pPr>
        <w:pStyle w:val="2"/>
      </w:pPr>
      <w:r>
        <w:rPr>
          <w:rFonts w:ascii="Arial" w:hAnsi="Arial" w:eastAsia="仿宋" w:cs="Arial"/>
        </w:rPr>
        <w:t>7.2 业务场景效果验证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50"/>
        <w:gridCol w:w="3650"/>
        <w:gridCol w:w="2900"/>
      </w:tblGrid>
      <w:tr>
        <w:trPr>
          <w:tblHeader w:val="true"/>
        </w:trPr>
        <w:tc>
          <w:tcPr>
            <w:tcW w:type="dxa" w:w="17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6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系统已形成的结果</w:t>
            </w:r>
          </w:p>
        </w:tc>
        <w:tc>
          <w:tcPr>
            <w:tcW w:type="dxa" w:w="29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验证重点</w:t>
            </w:r>
          </w:p>
        </w:tc>
      </w:tr>
      <w:tr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上海体育场周边轨交网络</w:t>
            </w:r>
          </w:p>
        </w:tc>
        <w:tc>
          <w:tcPr>
            <w:tcW w:type="dxa" w:w="36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筛选场馆 3 km 范围站点，叠加相关线路、站点和场馆标签</w:t>
            </w:r>
          </w:p>
        </w:tc>
        <w:tc>
          <w:tcPr>
            <w:tcW w:type="dxa" w:w="2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WGS84/米制投影、官方线路色、站点数量和图层可读性</w:t>
            </w:r>
          </w:p>
        </w:tc>
      </w:tr>
      <w:tr>
        <w:tc>
          <w:tcPr>
            <w:tcW w:type="dxa" w:w="1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网约车需求热度</w:t>
            </w:r>
          </w:p>
        </w:tc>
        <w:tc>
          <w:tcPr>
            <w:tcW w:type="dxa" w:w="36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按约 500 m 网格聚合下车端点，叠加上海体育场、三大火车站与轨交线路</w:t>
            </w:r>
          </w:p>
        </w:tc>
        <w:tc>
          <w:tcPr>
            <w:tcW w:type="dxa" w:w="2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不发布原始订单号；热点统计口径与坐标状态说明</w:t>
            </w:r>
          </w:p>
        </w:tc>
      </w:tr>
      <w:tr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活动日多方式趋势</w:t>
            </w:r>
          </w:p>
        </w:tc>
        <w:tc>
          <w:tcPr>
            <w:tcW w:type="dxa" w:w="36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按演前/演中/散场窗口对比网约车、公交、轨交和道路状态</w:t>
            </w:r>
          </w:p>
        </w:tc>
        <w:tc>
          <w:tcPr>
            <w:tcW w:type="dxa" w:w="2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各方式单位分列；仅在共同覆盖日期比较</w:t>
            </w:r>
          </w:p>
        </w:tc>
      </w:tr>
      <w:tr>
        <w:tc>
          <w:tcPr>
            <w:tcW w:type="dxa" w:w="1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知识辅助方案</w:t>
            </w:r>
          </w:p>
        </w:tc>
        <w:tc>
          <w:tcPr>
            <w:tcW w:type="dxa" w:w="36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从法规、标准、预案和案例定位条款，生成带来源的建议框架</w:t>
            </w:r>
          </w:p>
        </w:tc>
        <w:tc>
          <w:tcPr>
            <w:tcW w:type="dxa" w:w="29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区分法律义务、标准要求、预案程序和案例经验</w:t>
            </w:r>
          </w:p>
        </w:tc>
      </w:tr>
      <w:tr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报告交付</w:t>
            </w:r>
          </w:p>
        </w:tc>
        <w:tc>
          <w:tcPr>
            <w:tcW w:type="dxa" w:w="36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对话结论、引用、图片和数据文件汇总为 Markdown，并可预览/导出 PDF</w:t>
            </w:r>
          </w:p>
        </w:tc>
        <w:tc>
          <w:tcPr>
            <w:tcW w:type="dxa" w:w="29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相对图片路径受控解析；参考依据按正文实际引用生成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仿宋" w:cs="Arial"/>
        </w:rPr>
        <w:t>现有演示已证明同一任务可以完成数据查询、空间叠加、过程说明和成果文件生成。由于尚未开展有盲测规则的业务验收，本阶段结论应表述为“链路可运行、结果可复核”，不表述为“已达到生产指挥准确率”。</w:t>
      </w:r>
    </w:p>
    <w:p>
      <w:pPr>
        <w:pStyle w:val="2"/>
      </w:pPr>
      <w:r>
        <w:rPr>
          <w:rFonts w:ascii="Arial" w:hAnsi="Arial" w:eastAsia="仿宋" w:cs="Arial"/>
        </w:rPr>
        <w:t>7.3 已知缺陷与边界说明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数据时间跨度短：各事实域约 21—22 天，不能支持年度规律、节假日模型或长期预测。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空间覆盖不完整：轨交客流仅 10 个物理站；道路发布段无几何；天气网格 CRS 未确认。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样本不能外推全市：订单、公交和道路数据以徐汇区及场馆相关样本为主。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业务效果未完成盲测：暂无专家标注的问数题库和方案评分集，不能给出准确率或采纳率。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运行边界仍需加固：当前适合本机或受控演示；多人/局域网部署需补足认证、授权、审计与配额。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数据库依赖受控安装包：Git checkout 只包含代码、Skill、参考文档和脚本；数据库缺失时应停止查询。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决策责任不自动转移：系统建议需由交通管理、运营、公安、活动承办等责任主体核实和批准。</w:t>
      </w:r>
    </w:p>
    <w:p>
      <w:pPr>
        <w:pStyle w:val="1"/>
      </w:pPr>
      <w:r>
        <w:rPr>
          <w:rFonts w:ascii="Arial" w:hAnsi="Arial" w:eastAsia="仿宋" w:cs="Arial"/>
        </w:rPr>
        <w:t>八、成果交付清单</w:t>
      </w:r>
    </w:p>
    <w:p>
      <w:pPr>
        <w:pStyle w:val="2"/>
      </w:pPr>
      <w:r>
        <w:rPr>
          <w:rFonts w:ascii="Arial" w:hAnsi="Arial" w:eastAsia="仿宋" w:cs="Arial"/>
        </w:rPr>
        <w:t>8.1 文档类交付物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0"/>
        <w:gridCol w:w="1750"/>
        <w:gridCol w:w="4050"/>
      </w:tblGrid>
      <w:tr>
        <w:trPr>
          <w:tblHeader w:val="true"/>
        </w:trPr>
        <w:tc>
          <w:tcPr>
            <w:tcW w:type="dxa" w:w="250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文档</w:t>
            </w:r>
          </w:p>
        </w:tc>
        <w:tc>
          <w:tcPr>
            <w:tcW w:type="dxa" w:w="17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版本/位置</w:t>
            </w:r>
          </w:p>
        </w:tc>
        <w:tc>
          <w:tcPr>
            <w:tcW w:type="dxa" w:w="4050"/>
            <w:shd w:fill="8B4E30"/>
            <w:tcBorders>
              <w:top w:val="single" w:sz="6" w:color="8B4E30"/>
              <w:left w:val="single" w:sz="6" w:color="8B4E30"/>
              <w:bottom w:val="single" w:sz="6" w:color="8B4E30"/>
              <w:right w:val="single" w:sz="6" w:color="8B4E30"/>
              <w:insideH w:val="single" w:sz="6" w:color="8B4E30"/>
              <w:insideV w:val="single" w:sz="6" w:color="8B4E30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仿宋" w:cs="Arial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项目建设说明文档</w:t>
            </w:r>
          </w:p>
        </w:tc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本文件 / 2026-07-30</w:t>
            </w:r>
          </w:p>
        </w:tc>
        <w:tc>
          <w:tcPr>
            <w:tcW w:type="dxa" w:w="40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按原大纲完成的总体说明与验收边界。</w:t>
            </w:r>
          </w:p>
        </w:tc>
      </w:tr>
      <w:tr>
        <w:tc>
          <w:tcPr>
            <w:tcW w:type="dxa" w:w="25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README.md</w:t>
            </w:r>
          </w:p>
        </w:tc>
        <w:tc>
          <w:tcPr>
            <w:tcW w:type="dxa" w:w="1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v2.14.0</w:t>
            </w:r>
          </w:p>
        </w:tc>
        <w:tc>
          <w:tcPr>
            <w:tcW w:type="dxa" w:w="40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产品能力、启动方式、验证命令和运行约束。</w:t>
            </w:r>
          </w:p>
        </w:tc>
      </w:tr>
      <w:tr>
        <w:tc>
          <w:tcPr>
            <w:tcW w:type="dxa" w:w="25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docs/ARCHITECTURE.md</w:t>
            </w:r>
          </w:p>
        </w:tc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当前主线</w:t>
            </w:r>
          </w:p>
        </w:tc>
        <w:tc>
          <w:tcPr>
            <w:tcW w:type="dxa" w:w="40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系统边界、依赖方向和模块职责。</w:t>
            </w:r>
          </w:p>
        </w:tc>
      </w:tr>
      <w:tr>
        <w:tc>
          <w:tcPr>
            <w:tcW w:type="dxa" w:w="25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docs/CITATION_FEATURE_TECHNICAL_PLAN.md</w:t>
            </w:r>
          </w:p>
        </w:tc>
        <w:tc>
          <w:tcPr>
            <w:tcW w:type="dxa" w:w="1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当前主线</w:t>
            </w:r>
          </w:p>
        </w:tc>
        <w:tc>
          <w:tcPr>
            <w:tcW w:type="dxa" w:w="40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可信引用、报告产物和验收记录。</w:t>
            </w:r>
          </w:p>
        </w:tc>
      </w:tr>
      <w:tr>
        <w:tc>
          <w:tcPr>
            <w:tcW w:type="dxa" w:w="25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docs/TEST_BASELINES.md</w:t>
            </w:r>
          </w:p>
        </w:tc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当前主线</w:t>
            </w:r>
          </w:p>
        </w:tc>
        <w:tc>
          <w:tcPr>
            <w:tcW w:type="dxa" w:w="40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默认测试与浏览器验证范围。</w:t>
            </w:r>
          </w:p>
        </w:tc>
      </w:tr>
      <w:tr>
        <w:tc>
          <w:tcPr>
            <w:tcW w:type="dxa" w:w="250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docs/CHANGELOG.md</w:t>
            </w:r>
          </w:p>
        </w:tc>
        <w:tc>
          <w:tcPr>
            <w:tcW w:type="dxa" w:w="17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截至 v2.14</w:t>
            </w:r>
          </w:p>
        </w:tc>
        <w:tc>
          <w:tcPr>
            <w:tcW w:type="dxa" w:w="4050"/>
            <w:shd w:fill="FAFAFA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版本演进、提交与验证记录。</w:t>
            </w:r>
          </w:p>
        </w:tc>
      </w:tr>
      <w:tr>
        <w:tc>
          <w:tcPr>
            <w:tcW w:type="dxa" w:w="250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center"/>
            </w:pPr>
            <w:r>
              <w:rPr>
                <w:rFonts w:ascii="Arial" w:hAnsi="Arial" w:eastAsia="仿宋" w:cs="Arial"/>
                <w:sz w:val="16"/>
              </w:rPr>
              <w:t>数据资产报告与参考文档</w:t>
            </w:r>
          </w:p>
        </w:tc>
        <w:tc>
          <w:tcPr>
            <w:tcW w:type="dxa" w:w="17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资产 3.0.x</w:t>
            </w:r>
          </w:p>
        </w:tc>
        <w:tc>
          <w:tcPr>
            <w:tcW w:type="dxa" w:w="4050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spacing w:after="0" w:line="283" w:lineRule="auto"/>
              <w:jc w:val="left"/>
            </w:pPr>
            <w:r>
              <w:rPr>
                <w:rFonts w:ascii="Arial" w:hAnsi="Arial" w:eastAsia="仿宋" w:cs="Arial"/>
                <w:sz w:val="16"/>
              </w:rPr>
              <w:t>覆盖、Schema、指标、空间、治理及各分域数据字典。</w:t>
            </w:r>
          </w:p>
        </w:tc>
      </w:tr>
    </w:tbl>
    <w:p>
      <w:pPr>
        <w:spacing w:after="0"/>
      </w:pPr>
    </w:p>
    <w:p>
      <w:pPr>
        <w:pStyle w:val="2"/>
      </w:pPr>
      <w:r>
        <w:rPr>
          <w:rFonts w:ascii="Arial" w:hAnsi="Arial" w:eastAsia="仿宋" w:cs="Arial"/>
        </w:rPr>
        <w:t>8.2 系统类交付物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Pi Traffic Workspace v2.14.0 源码与构建脚本：Node/TypeScript 服务、React 工作台、浏览器 Kernel 和共享契约。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pi-task-mode、pi-geo-visualization、pi-citation、pi-web-bridge 等 Extension。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shanghai-traffic-data-assets、search-traffic-assurance-knowledge、geo-visualization-explanation、plot-from-data 等项目级 Skill。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自动化测试、浏览器冒烟、真实 Pi RPC 冒烟和测试夹具。</w:t>
      </w:r>
    </w:p>
    <w:p>
      <w:pPr>
        <w:pStyle w:val="ReportBullet"/>
        <w:numPr>
          <w:ilvl w:val="0"/>
          <w:numId w:val="2"/>
        </w:numPr>
      </w:pPr>
      <w:r>
        <w:rPr>
          <w:rFonts w:ascii="Arial" w:hAnsi="Arial" w:eastAsia="仿宋" w:cs="Arial"/>
        </w:rPr>
        <w:t>受控数据安装包：6 个 SQLite 分域库及查询/治理脚本；数据库与原始数据不进入 Git。</w:t>
      </w:r>
    </w:p>
    <w:p>
      <w:pPr>
        <w:keepLines/>
        <w:spacing w:before="120" w:after="160" w:line="324" w:lineRule="auto"/>
        <w:ind w:left="85" w:right="85"/>
        <w:shd w:fill="F7F2ED"/>
        <w:pBdr>
          <w:left w:val="single" w:sz="12" w:space="8" w:color="B96F46"/>
        </w:pBdr>
      </w:pPr>
      <w:r>
        <w:rPr>
          <w:rFonts w:ascii="Arial" w:hAnsi="Arial" w:eastAsia="仿宋" w:cs="Arial"/>
          <w:b/>
          <w:color w:val="8B4E30"/>
        </w:rPr>
        <w:t>部署与展示｜</w:t>
      </w:r>
      <w:r>
        <w:rPr>
          <w:rFonts w:ascii="Arial" w:hAnsi="Arial" w:eastAsia="仿宋" w:cs="Arial"/>
          <w:color w:val="202124"/>
        </w:rPr>
        <w:t>在项目目录执行 npm install 后运行 ./start.sh，默认访问 http://127.0.0.1:3000。也可执行 npm run build，再用 node bin/tau.js --host 127.0.0.1 --port 3001 --open 启动。服务应使用当前用户权限，不使用 sudo；受控数据库、密钥和原始数据需按部署环境单独配置。</w:t>
      </w:r>
    </w:p>
    <w:p>
      <w:pPr>
        <w:pStyle w:val="2"/>
      </w:pPr>
      <w:r>
        <w:rPr>
          <w:rFonts w:ascii="Arial" w:hAnsi="Arial" w:eastAsia="仿宋" w:cs="Arial"/>
        </w:rPr>
        <w:t>8.3 其他配套交付物</w:t>
      </w:r>
    </w:p>
    <w:p>
      <w:pPr/>
      <w:r>
        <w:rPr>
          <w:rFonts w:ascii="Arial" w:hAnsi="Arial" w:eastAsia="仿宋" w:cs="Arial"/>
        </w:rPr>
        <w:t>仓库已提供首页、设置、命令面板、移动端和交通地图分析截图，可用于汇报和演示；地图示例覆盖上海体育场周边轨交网络、网约车热度与重要场站叠加。当前未随仓库形成独立演示视频，如需对外汇报，可按“新建交通任务—开启任务模式—完成问数—生成地图—导出报告”的路径录制。</w:t>
      </w:r>
    </w:p>
    <w:p>
      <w:pPr/>
      <w:r>
        <w:rPr>
          <w:rFonts w:ascii="Arial" w:hAnsi="Arial" w:eastAsia="仿宋" w:cs="Arial"/>
        </w:rPr>
        <w:t>交付时应同时说明两项外部依赖：一是受控交通数据库不随代码仓库分发；二是知识库原始 PDF/HTML 位于项目外部受控目录。缺少任一依赖时，系统仍可启动和浏览代码/界面，但对应数据查询或原文引用功能会明确停止。</w:t>
      </w:r>
    </w:p>
    <w:p>
      <w:pPr>
        <w:spacing w:before="440" w:after="0"/>
        <w:jc w:val="center"/>
      </w:pPr>
      <w:r>
        <w:rPr>
          <w:rFonts w:ascii="Arial" w:hAnsi="Arial" w:eastAsia="仿宋" w:cs="Arial"/>
          <w:b/>
          <w:color w:val="8B4E30"/>
          <w:sz w:val="22"/>
        </w:rPr>
        <w:t>— 完 —</w:t>
      </w:r>
    </w:p>
    <w:sectPr w:rsidR="00C162C2">
      <w:headerReference w:type="default" r:id="rId7"/>
      <w:footerReference w:type="default" r:id="rId8"/>
      <w:pgSz w:w="11906" w:h="16838"/>
      <w:pgMar w:top="1440" w:right="1800" w:bottom="1440" w:left="1800" w:header="851" w:footer="737" w:gutter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1" w:subsetted="1" w:fontKey="{BF47F456-0AF6-5644-BEA1-0F3E5BA1669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2" w:subsetted="1" w:fontKey="{0EC23C9C-9B5C-704D-A067-74AAF10FD90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fontKey="{A8913F11-15F3-A14F-8FDC-F746E7D64418}"/>
  </w:font>
  <w:font w:name="方正仿宋_GB2312">
    <w:panose1 w:val="020B0604020202020204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仿宋" w:cs="Arial"/>
        <w:color w:val="667085"/>
        <w:sz w:val="16"/>
      </w:rPr>
      <w:t xml:space="preserve">—  </w:t>
    </w:r>
    <w:r>
      <w:rPr>
        <w:rFonts w:ascii="Arial" w:hAnsi="Arial" w:eastAsia="仿宋" w:cs="Arial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仿宋" w:cs="Arial"/>
        <w:color w:val="667085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仿宋" w:cs="Arial"/>
        <w:color w:val="667085"/>
        <w:sz w:val="16"/>
      </w:rPr>
      <w:t>重大活动交通态势洞察及辅助决策智能体集群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4E0A2"/>
    <w:multiLevelType w:val="singleLevel"/>
    <w:tmpl w:val="0724E0A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78789891">
    <w:abstractNumId w:val="0"/>
  </w:num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460"/>
        </w:tabs>
        <w:ind w:start="460" w:hanging="240"/>
      </w:pPr>
    </w:lvl>
  </w:abstractNum>
  <w:num w:numId="2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460"/>
        </w:tabs>
        <w:ind w:start="460" w:hanging="240"/>
      </w:pPr>
    </w:lvl>
  </w:abstractNum>
  <w:num w:numId="3">
    <w:abstractNumId w:val="2"/>
  </w:num>
  <w:abstractNum w:abstractNumId="3">
    <w:multiLevelType w:val="singleLevel"/>
    <w:lvl w:ilvl="0">
      <w:start w:val="1"/>
      <w:numFmt w:val="decimal"/>
      <w:lvlText w:val="%1."/>
      <w:lvlJc w:val="left"/>
      <w:pPr>
        <w:tabs>
          <w:tab w:val="num" w:pos="460"/>
        </w:tabs>
        <w:ind w:start="460" w:hanging="240"/>
      </w:pPr>
    </w:lvl>
  </w:abstractNum>
  <w:num w:numId="4">
    <w:abstractNumId w:val="3"/>
  </w:num>
  <w:abstractNum w:abstractNumId="4">
    <w:multiLevelType w:val="singleLevel"/>
    <w:lvl w:ilvl="0">
      <w:start w:val="1"/>
      <w:numFmt w:val="decimal"/>
      <w:lvlText w:val="%1."/>
      <w:lvlJc w:val="left"/>
      <w:pPr>
        <w:tabs>
          <w:tab w:val="num" w:pos="460"/>
        </w:tabs>
        <w:ind w:start="460" w:hanging="240"/>
      </w:pPr>
    </w:lvl>
  </w:abstractNum>
  <w:num w:numId="5">
    <w:abstractNumId w:val="4"/>
  </w:num>
  <w:abstractNum w:abstractNumId="5">
    <w:multiLevelType w:val="singleLevel"/>
    <w:lvl w:ilvl="0">
      <w:start w:val="1"/>
      <w:numFmt w:val="decimal"/>
      <w:lvlText w:val="%1."/>
      <w:lvlJc w:val="left"/>
      <w:pPr>
        <w:tabs>
          <w:tab w:val="num" w:pos="460"/>
        </w:tabs>
        <w:ind w:start="460" w:hanging="240"/>
      </w:pPr>
    </w:lvl>
  </w:abstractNum>
  <w:num w:numId="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03D4450"/>
    <w:rsid w:val="001E162A"/>
    <w:rsid w:val="002E25E0"/>
    <w:rsid w:val="003377DF"/>
    <w:rsid w:val="0036444F"/>
    <w:rsid w:val="003B4775"/>
    <w:rsid w:val="00475475"/>
    <w:rsid w:val="00584C2D"/>
    <w:rsid w:val="0078265F"/>
    <w:rsid w:val="007B0692"/>
    <w:rsid w:val="00A808BD"/>
    <w:rsid w:val="00C162C2"/>
    <w:rsid w:val="00DB3401"/>
    <w:rsid w:val="00DD7536"/>
    <w:rsid w:val="00DE5031"/>
    <w:rsid w:val="05EC5B44"/>
    <w:rsid w:val="07516F96"/>
    <w:rsid w:val="0F242255"/>
    <w:rsid w:val="25367963"/>
    <w:rsid w:val="292F0C2C"/>
    <w:rsid w:val="29534671"/>
    <w:rsid w:val="3A381380"/>
    <w:rsid w:val="3E3839DE"/>
    <w:rsid w:val="403D4450"/>
    <w:rsid w:val="6C59632A"/>
    <w:rsid w:val="71AE4710"/>
    <w:rsid w:val="74F8786E"/>
    <w:rsid w:val="792627D5"/>
    <w:rsid w:val="7A392501"/>
    <w:rsid w:val="7D92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7B14867"/>
  <w15:docId w15:val="{078F3051-6EF4-A643-8894-8A4C469AED8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48" w:lineRule="auto" w:after="120"/>
      <w:jc w:val="left"/>
    </w:pPr>
    <w:rPr>
      <w:rFonts w:ascii="Arial" w:hAnsi="Arial" w:eastAsia="仿宋" w:cs="Arial"/>
      <w:color w:val="202124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pageBreakBefore/>
      <w:spacing w:before="0" w:after="220" w:line="276" w:lineRule="auto"/>
      <w:outlineLvl w:val="0"/>
    </w:pPr>
    <w:rPr>
      <w:rFonts w:ascii="Arial" w:hAnsi="Arial" w:eastAsia="仿宋" w:cs="Arial"/>
      <w:b/>
      <w:color w:val="8B4E30"/>
      <w:kern w:val="44"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120" w:line="276" w:lineRule="auto"/>
      <w:outlineLvl w:val="1"/>
    </w:pPr>
    <w:rPr>
      <w:rFonts w:ascii="Arial" w:hAnsi="Arial" w:eastAsia="仿宋" w:cs="Arial"/>
      <w:b/>
      <w:bCs/>
      <w:color w:val="202124"/>
      <w:sz w:val="25"/>
      <w:szCs w:val="32"/>
    </w:rPr>
  </w:style>
  <w:style w:type="paragraph" w:styleId="3">
    <w:name w:val="heading 3"/>
    <w:basedOn w:val="a"/>
    <w:next w:val="a"/>
    <w:semiHidden/>
    <w:unhideWhenUsed/>
    <w:qFormat/>
    <w:pPr>
      <w:keepNext/>
      <w:spacing w:beforeAutospacing="1" w:afterAutospacing="1" w:before="160" w:after="60"/>
      <w:jc w:val="left"/>
      <w:outlineLvl w:val="2"/>
    </w:pPr>
    <w:rPr>
      <w:rFonts w:ascii="Arial" w:eastAsia="仿宋" w:hAnsi="Arial" w:cs="Arial" w:hint="eastAsia"/>
      <w:b/>
      <w:bCs/>
      <w:color w:val="8B4E30"/>
      <w:kern w:val="0"/>
      <w:sz w:val="22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portBullet">
    <w:name w:val="Report Bullet"/>
    <w:pPr>
      <w:spacing w:after="60" w:line="324" w:lineRule="auto"/>
      <w:ind w:left="420" w:hanging="210"/>
    </w:pPr>
    <w:rPr>
      <w:rFonts w:ascii="Arial" w:hAnsi="Arial" w:eastAsia="仿宋" w:cs="Arial"/>
      <w:sz w:val="21"/>
    </w:rPr>
  </w:style>
  <w:style w:type="paragraph" w:customStyle="1" w:styleId="ReportNumber">
    <w:name w:val="Report Number"/>
    <w:pPr>
      <w:spacing w:after="60" w:line="324" w:lineRule="auto"/>
      <w:ind w:left="420" w:hanging="210"/>
    </w:pPr>
    <w:rPr>
      <w:rFonts w:ascii="Arial" w:hAnsi="Arial" w:eastAsia="仿宋" w:cs="Arial"/>
      <w:sz w:val="21"/>
    </w:rPr>
  </w:style>
  <w:style w:type="paragraph" w:customStyle="1" w:styleId="Caption">
    <w:name w:val="caption"/>
    <w:pPr>
      <w:spacing w:before="80" w:after="160"/>
      <w:jc w:val="center"/>
    </w:pPr>
    <w:rPr>
      <w:rFonts w:ascii="Arial" w:hAnsi="Arial" w:eastAsia="仿宋" w:cs="Arial"/>
      <w:i w:val="0"/>
      <w:color w:val="667085"/>
      <w:sz w:val="18"/>
    </w:rPr>
  </w:style>
  <w:style w:type="paragraph" w:customStyle="1" w:styleId="ReportSmall">
    <w:name w:val="Report Small"/>
    <w:pPr>
      <w:spacing w:line="300" w:lineRule="auto" w:after="80"/>
    </w:pPr>
    <w:rPr>
      <w:rFonts w:ascii="Arial" w:hAnsi="Arial" w:eastAsia="仿宋" w:cs="Arial"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项目组</dc:creator>
  <cp:lastModifiedBy>为珊 孙</cp:lastModifiedBy>
  <cp:revision>13</cp:revision>
  <dcterms:created xsi:type="dcterms:W3CDTF">2026-07-23T02:26:00Z</dcterms:created>
  <dcterms:modified xsi:type="dcterms:W3CDTF">2026-07-23T03:06:00Z</dcterms:modified>
  <dc:title>重大活动交通态势洞察及辅助决策智能体集群—项目建设说明文档</dc:title>
  <dc:subject>Pi Traffic Workspace v2.14.0 项目建设说明</dc:subject>
  <cp:keywords>重大活动,交通态势,辅助决策,智能体,Pi Traffic Workspace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56B1B0530CDC4824BC3E5FBF32CEC771_11</vt:lpwstr>
  </property>
  <property fmtid="{D5CDD505-2E9C-101B-9397-08002B2CF9AE}" pid="4" name="KSOTemplateDocerSaveRecord">
    <vt:lpwstr>eyJoZGlkIjoiMjVkZGRhNDY5YjgxODQ0NmE4YmRiYzQ1YTNmNWJlYjQiLCJ1c2VySWQiOiI2MDYzNjEzNjQifQ==</vt:lpwstr>
  </property>
</Properties>
</file>