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43C9" w14:textId="77777777" w:rsidR="00584888" w:rsidRDefault="00747F0F" w:rsidP="00584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F0F">
        <w:rPr>
          <w:rFonts w:ascii="Times New Roman" w:eastAsia="Times New Roman" w:hAnsi="Times New Roman" w:cs="Times New Roman"/>
          <w:kern w:val="0"/>
          <w14:ligatures w14:val="none"/>
        </w:rPr>
        <w:t>Single-Cell RNA-seq Data Processing Report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1. Dataset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The single-cell RNA-seq dataset was obtained from GEO under accession number GSE234832 and included five samples: BRBMET2, BRBMET3, BRBMET87, LUBMET7, and LUBMET1.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A total of 10,896 cells were obtained from the downloaded matrices.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2. Quality Control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The original study applied QC criteria of ≥200 detected genes and ≤40% mitochondrial genes.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The downloaded matrices already contained the 10,896 cells reported after the original QC, so QC filtering was not repeated.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3. Doublet Detection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Doublet detection was performed separately for each sample using </w:t>
      </w:r>
      <w:proofErr w:type="spellStart"/>
      <w:r w:rsidRPr="00747F0F">
        <w:rPr>
          <w:rFonts w:ascii="Times New Roman" w:eastAsia="Times New Roman" w:hAnsi="Times New Roman" w:cs="Times New Roman"/>
          <w:kern w:val="0"/>
          <w14:ligatures w14:val="none"/>
        </w:rPr>
        <w:t>scDblFinder</w:t>
      </w:r>
      <w:proofErr w:type="spellEnd"/>
      <w:r w:rsidRPr="00747F0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A total of 586 doublets were detected and removed, leaving 10,310 singlet cells.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Sample| Before| Doublets| After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BRBMET2| 2,561| 133| 2,428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BRBMET3| 2,509| 135| 2,374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BRBMET87| 2,753| 149| 2,604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LUBMET7| 2,433| 143| 2,290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LUBMET1| 640| 26| 614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Total| 10,896| 586| 10,310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4. Merging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The five samples were merged after doublet removal, resulting in 10,310 singlet cells.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5. Normalization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merged dataset was normalized using </w:t>
      </w:r>
      <w:proofErr w:type="spellStart"/>
      <w:r w:rsidRPr="00747F0F">
        <w:rPr>
          <w:rFonts w:ascii="Times New Roman" w:eastAsia="Times New Roman" w:hAnsi="Times New Roman" w:cs="Times New Roman"/>
          <w:kern w:val="0"/>
          <w14:ligatures w14:val="none"/>
        </w:rPr>
        <w:t>LogNormalize</w:t>
      </w:r>
      <w:proofErr w:type="spellEnd"/>
      <w:r w:rsidRPr="00747F0F">
        <w:rPr>
          <w:rFonts w:ascii="Times New Roman" w:eastAsia="Times New Roman" w:hAnsi="Times New Roman" w:cs="Times New Roman"/>
          <w:kern w:val="0"/>
          <w14:ligatures w14:val="none"/>
        </w:rPr>
        <w:t xml:space="preserve"> with a scale factor of 10,000.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6. Highly Variable Genes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top 2,000 highly variable genes were identified using the </w:t>
      </w:r>
      <w:proofErr w:type="spellStart"/>
      <w:r w:rsidRPr="00747F0F">
        <w:rPr>
          <w:rFonts w:ascii="Times New Roman" w:eastAsia="Times New Roman" w:hAnsi="Times New Roman" w:cs="Times New Roman"/>
          <w:kern w:val="0"/>
          <w14:ligatures w14:val="none"/>
        </w:rPr>
        <w:t>vst</w:t>
      </w:r>
      <w:proofErr w:type="spellEnd"/>
      <w:r w:rsidRPr="00747F0F">
        <w:rPr>
          <w:rFonts w:ascii="Times New Roman" w:eastAsia="Times New Roman" w:hAnsi="Times New Roman" w:cs="Times New Roman"/>
          <w:kern w:val="0"/>
          <w14:ligatures w14:val="none"/>
        </w:rPr>
        <w:t xml:space="preserve"> method and visualized using a Variable Feature Plot.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7. Scaling</w:t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F0F">
        <w:rPr>
          <w:rFonts w:ascii="Times New Roman" w:eastAsia="Times New Roman" w:hAnsi="Times New Roman" w:cs="Times New Roman"/>
          <w:kern w:val="0"/>
          <w14:ligatures w14:val="none"/>
        </w:rPr>
        <w:br/>
        <w:t>The 2,000 highly variable genes were scaled using Seurat's "</w:t>
      </w:r>
      <w:proofErr w:type="spellStart"/>
      <w:r w:rsidRPr="00747F0F">
        <w:rPr>
          <w:rFonts w:ascii="Times New Roman" w:eastAsia="Times New Roman" w:hAnsi="Times New Roman" w:cs="Times New Roman"/>
          <w:kern w:val="0"/>
          <w14:ligatures w14:val="none"/>
        </w:rPr>
        <w:t>ScaleData</w:t>
      </w:r>
      <w:proofErr w:type="spellEnd"/>
      <w:r w:rsidRPr="00747F0F">
        <w:rPr>
          <w:rFonts w:ascii="Times New Roman" w:eastAsia="Times New Roman" w:hAnsi="Times New Roman" w:cs="Times New Roman"/>
          <w:kern w:val="0"/>
          <w14:ligatures w14:val="none"/>
        </w:rPr>
        <w:t>" function.</w:t>
      </w:r>
    </w:p>
    <w:p w14:paraId="10800FA3" w14:textId="61AD5BB6" w:rsidR="00547BB1" w:rsidRPr="00747F0F" w:rsidRDefault="00747F0F" w:rsidP="00584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F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  <w:r w:rsidR="00000000">
        <w:pict w14:anchorId="1AB79948">
          <v:rect id="_x0000_i1025" style="width:0;height:1.5pt" o:hralign="center" o:hrstd="t" o:hr="t" fillcolor="#a0a0a0" stroked="f"/>
        </w:pict>
      </w:r>
    </w:p>
    <w:p w14:paraId="1BE4A7B3" w14:textId="77777777" w:rsidR="00547BB1" w:rsidRPr="00547BB1" w:rsidRDefault="00547BB1" w:rsidP="00547BB1">
      <w:proofErr w:type="spellStart"/>
      <w:r w:rsidRPr="00547BB1">
        <w:rPr>
          <w:b/>
          <w:bCs/>
        </w:rPr>
        <w:t>scRNA</w:t>
      </w:r>
      <w:proofErr w:type="spellEnd"/>
      <w:r w:rsidRPr="00547BB1">
        <w:rPr>
          <w:b/>
          <w:bCs/>
        </w:rPr>
        <w:t>-seq Analysis Results — Progress Summary (Omar's part)</w:t>
      </w:r>
    </w:p>
    <w:p w14:paraId="2E023C72" w14:textId="77777777" w:rsidR="00547BB1" w:rsidRPr="00547BB1" w:rsidRDefault="00547BB1" w:rsidP="00547BB1">
      <w:r w:rsidRPr="00547BB1">
        <w:rPr>
          <w:b/>
          <w:bCs/>
        </w:rPr>
        <w:t>1. PCA (Dimensionality Reduction)</w:t>
      </w:r>
    </w:p>
    <w:p w14:paraId="26D5A0A8" w14:textId="77777777" w:rsidR="00547BB1" w:rsidRPr="00547BB1" w:rsidRDefault="00547BB1" w:rsidP="00547BB1">
      <w:pPr>
        <w:numPr>
          <w:ilvl w:val="0"/>
          <w:numId w:val="1"/>
        </w:numPr>
      </w:pPr>
      <w:r w:rsidRPr="00547BB1">
        <w:t>Principal Component Analysis (PCA) was performed on the scaled data</w:t>
      </w:r>
    </w:p>
    <w:p w14:paraId="6C810C32" w14:textId="77777777" w:rsidR="00547BB1" w:rsidRPr="00547BB1" w:rsidRDefault="00547BB1" w:rsidP="00547BB1">
      <w:pPr>
        <w:numPr>
          <w:ilvl w:val="0"/>
          <w:numId w:val="1"/>
        </w:numPr>
      </w:pPr>
      <w:r w:rsidRPr="00547BB1">
        <w:t>The first 30 principal components were used, following the methodology of the original paper</w:t>
      </w:r>
    </w:p>
    <w:p w14:paraId="2DBDB8BA" w14:textId="77777777" w:rsidR="00547BB1" w:rsidRPr="00547BB1" w:rsidRDefault="00547BB1" w:rsidP="00547BB1">
      <w:pPr>
        <w:numPr>
          <w:ilvl w:val="0"/>
          <w:numId w:val="1"/>
        </w:numPr>
      </w:pPr>
      <w:r w:rsidRPr="00547BB1">
        <w:t>An Elbow Plot was examined to confirm the appropriate number of PCs</w:t>
      </w:r>
    </w:p>
    <w:p w14:paraId="62647409" w14:textId="77777777" w:rsidR="00547BB1" w:rsidRPr="00547BB1" w:rsidRDefault="00547BB1" w:rsidP="00547BB1">
      <w:r w:rsidRPr="00547BB1">
        <w:rPr>
          <w:b/>
          <w:bCs/>
        </w:rPr>
        <w:t>2. Batch Correction (Harmony)</w:t>
      </w:r>
    </w:p>
    <w:p w14:paraId="42C46D83" w14:textId="77777777" w:rsidR="00547BB1" w:rsidRPr="00547BB1" w:rsidRDefault="00547BB1" w:rsidP="00547BB1">
      <w:pPr>
        <w:numPr>
          <w:ilvl w:val="0"/>
          <w:numId w:val="2"/>
        </w:numPr>
      </w:pPr>
      <w:r w:rsidRPr="00547BB1">
        <w:t>The data showed a clear batch effect across the five samples (BRBMET2, BRBMET3, BRBMET87, LUBMET1, LUBMET7)</w:t>
      </w:r>
    </w:p>
    <w:p w14:paraId="04AA182E" w14:textId="77777777" w:rsidR="00547BB1" w:rsidRPr="00547BB1" w:rsidRDefault="00547BB1" w:rsidP="00547BB1">
      <w:pPr>
        <w:numPr>
          <w:ilvl w:val="0"/>
          <w:numId w:val="2"/>
        </w:numPr>
      </w:pPr>
      <w:r w:rsidRPr="00547BB1">
        <w:t>Harmony was used to correct for batch effects (</w:t>
      </w:r>
      <w:proofErr w:type="spellStart"/>
      <w:r w:rsidRPr="00547BB1">
        <w:t>group.by.vars</w:t>
      </w:r>
      <w:proofErr w:type="spellEnd"/>
      <w:r w:rsidRPr="00547BB1">
        <w:t xml:space="preserve"> = "</w:t>
      </w:r>
      <w:proofErr w:type="spellStart"/>
      <w:r w:rsidRPr="00547BB1">
        <w:t>orig.ident</w:t>
      </w:r>
      <w:proofErr w:type="spellEnd"/>
      <w:r w:rsidRPr="00547BB1">
        <w:t xml:space="preserve">", </w:t>
      </w:r>
      <w:proofErr w:type="spellStart"/>
      <w:r w:rsidRPr="00547BB1">
        <w:t>dims.use</w:t>
      </w:r>
      <w:proofErr w:type="spellEnd"/>
      <w:r w:rsidRPr="00547BB1">
        <w:t xml:space="preserve"> = 1:30)</w:t>
      </w:r>
    </w:p>
    <w:p w14:paraId="0C6E4B2C" w14:textId="77777777" w:rsidR="00547BB1" w:rsidRPr="00547BB1" w:rsidRDefault="00547BB1" w:rsidP="00547BB1">
      <w:pPr>
        <w:numPr>
          <w:ilvl w:val="0"/>
          <w:numId w:val="2"/>
        </w:numPr>
      </w:pPr>
      <w:r w:rsidRPr="00547BB1">
        <w:t>After correction, most samples showed good overlap in the UMAP, except for LUBMET1, which remained partially separated — most likely due to differences in sequencing depth rather than a true biological difference</w:t>
      </w:r>
    </w:p>
    <w:p w14:paraId="7E467BC5" w14:textId="77777777" w:rsidR="00547BB1" w:rsidRPr="00547BB1" w:rsidRDefault="00547BB1" w:rsidP="00547BB1">
      <w:r w:rsidRPr="00547BB1">
        <w:rPr>
          <w:b/>
          <w:bCs/>
        </w:rPr>
        <w:t>3. Clustering</w:t>
      </w:r>
    </w:p>
    <w:p w14:paraId="71073BE2" w14:textId="77777777" w:rsidR="00547BB1" w:rsidRPr="00547BB1" w:rsidRDefault="00547BB1" w:rsidP="00547BB1">
      <w:pPr>
        <w:numPr>
          <w:ilvl w:val="0"/>
          <w:numId w:val="3"/>
        </w:numPr>
      </w:pPr>
      <w:r w:rsidRPr="00547BB1">
        <w:t xml:space="preserve">14 clusters (0 to 13) were identified using </w:t>
      </w:r>
      <w:proofErr w:type="spellStart"/>
      <w:r w:rsidRPr="00547BB1">
        <w:t>FindNeighbors</w:t>
      </w:r>
      <w:proofErr w:type="spellEnd"/>
      <w:r w:rsidRPr="00547BB1">
        <w:t xml:space="preserve"> + </w:t>
      </w:r>
      <w:proofErr w:type="spellStart"/>
      <w:r w:rsidRPr="00547BB1">
        <w:t>FindClusters</w:t>
      </w:r>
      <w:proofErr w:type="spellEnd"/>
      <w:r w:rsidRPr="00547BB1">
        <w:t xml:space="preserve"> (resolution = 0.5) on the Harmony reduction</w:t>
      </w:r>
    </w:p>
    <w:p w14:paraId="3D914F1A" w14:textId="77777777" w:rsidR="00547BB1" w:rsidRPr="00547BB1" w:rsidRDefault="00547BB1" w:rsidP="00547BB1">
      <w:pPr>
        <w:numPr>
          <w:ilvl w:val="0"/>
          <w:numId w:val="3"/>
        </w:numPr>
      </w:pPr>
      <w:r w:rsidRPr="00547BB1">
        <w:t>UMAP visualization was generated to display the clusters</w:t>
      </w:r>
    </w:p>
    <w:p w14:paraId="0A9477FC" w14:textId="77777777" w:rsidR="00547BB1" w:rsidRPr="00547BB1" w:rsidRDefault="00547BB1" w:rsidP="00547BB1">
      <w:r w:rsidRPr="00547BB1">
        <w:rPr>
          <w:b/>
          <w:bCs/>
        </w:rPr>
        <w:t>4. Marker Gene Identification</w:t>
      </w:r>
    </w:p>
    <w:p w14:paraId="7CCBA25C" w14:textId="77777777" w:rsidR="00547BB1" w:rsidRPr="00547BB1" w:rsidRDefault="00547BB1" w:rsidP="00547BB1">
      <w:pPr>
        <w:numPr>
          <w:ilvl w:val="0"/>
          <w:numId w:val="4"/>
        </w:numPr>
      </w:pPr>
      <w:proofErr w:type="spellStart"/>
      <w:r w:rsidRPr="00547BB1">
        <w:t>FindAllMarkers</w:t>
      </w:r>
      <w:proofErr w:type="spellEnd"/>
      <w:r w:rsidRPr="00547BB1">
        <w:t xml:space="preserve"> was used to identify the top marker genes for each cluster</w:t>
      </w:r>
    </w:p>
    <w:p w14:paraId="2B209CE2" w14:textId="77777777" w:rsidR="00547BB1" w:rsidRPr="00547BB1" w:rsidRDefault="00547BB1" w:rsidP="00547BB1">
      <w:pPr>
        <w:numPr>
          <w:ilvl w:val="0"/>
          <w:numId w:val="4"/>
        </w:numPr>
      </w:pPr>
      <w:r w:rsidRPr="00547BB1">
        <w:t>Preliminary (unconfirmed) results suggest the presence of: Macrophages/Microglia, Tumor cells, Proliferating cells, T cells, Oligodendrocytes, Fibroblasts, B cells, Endothelial cells, and other cell types — pending final review</w:t>
      </w:r>
    </w:p>
    <w:p w14:paraId="1D2F4E83" w14:textId="77777777" w:rsidR="00547BB1" w:rsidRPr="00547BB1" w:rsidRDefault="00547BB1" w:rsidP="00547BB1">
      <w:r w:rsidRPr="00547BB1">
        <w:rPr>
          <w:b/>
          <w:bCs/>
        </w:rPr>
        <w:t xml:space="preserve">5. Fibroblast </w:t>
      </w:r>
      <w:proofErr w:type="spellStart"/>
      <w:r w:rsidRPr="00547BB1">
        <w:rPr>
          <w:b/>
          <w:bCs/>
        </w:rPr>
        <w:t>Subclustering</w:t>
      </w:r>
      <w:proofErr w:type="spellEnd"/>
    </w:p>
    <w:p w14:paraId="3AE3CB36" w14:textId="77777777" w:rsidR="00547BB1" w:rsidRPr="00547BB1" w:rsidRDefault="00547BB1" w:rsidP="00547BB1">
      <w:pPr>
        <w:numPr>
          <w:ilvl w:val="0"/>
          <w:numId w:val="5"/>
        </w:numPr>
      </w:pPr>
      <w:r w:rsidRPr="00547BB1">
        <w:t>The Fibroblast cluster (cluster 7) was isolated and re-analyzed through sub-clustering</w:t>
      </w:r>
    </w:p>
    <w:p w14:paraId="4FF7A55E" w14:textId="77777777" w:rsidR="00547BB1" w:rsidRPr="00547BB1" w:rsidRDefault="00547BB1" w:rsidP="00547BB1">
      <w:pPr>
        <w:numPr>
          <w:ilvl w:val="0"/>
          <w:numId w:val="5"/>
        </w:numPr>
      </w:pPr>
      <w:r w:rsidRPr="00547BB1">
        <w:t>3 subclusters (0, 1, 2) were identified within the Fibroblast population</w:t>
      </w:r>
    </w:p>
    <w:p w14:paraId="680CB3FD" w14:textId="7A6F20AC" w:rsidR="00F05E83" w:rsidRDefault="00547BB1" w:rsidP="00584888">
      <w:pPr>
        <w:numPr>
          <w:ilvl w:val="0"/>
          <w:numId w:val="5"/>
        </w:numPr>
      </w:pPr>
      <w:r w:rsidRPr="00547BB1">
        <w:t>Top marker genes were identified for each subcluster</w:t>
      </w:r>
    </w:p>
    <w:sectPr w:rsidR="00F05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C408B"/>
    <w:multiLevelType w:val="multilevel"/>
    <w:tmpl w:val="883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4A4DFC"/>
    <w:multiLevelType w:val="multilevel"/>
    <w:tmpl w:val="06D2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94624"/>
    <w:multiLevelType w:val="multilevel"/>
    <w:tmpl w:val="1EF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A33C2"/>
    <w:multiLevelType w:val="multilevel"/>
    <w:tmpl w:val="9CE4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C7744"/>
    <w:multiLevelType w:val="multilevel"/>
    <w:tmpl w:val="8D1C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07B7E"/>
    <w:multiLevelType w:val="multilevel"/>
    <w:tmpl w:val="E38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258748">
    <w:abstractNumId w:val="3"/>
  </w:num>
  <w:num w:numId="2" w16cid:durableId="1591429884">
    <w:abstractNumId w:val="4"/>
  </w:num>
  <w:num w:numId="3" w16cid:durableId="249848704">
    <w:abstractNumId w:val="2"/>
  </w:num>
  <w:num w:numId="4" w16cid:durableId="1252397225">
    <w:abstractNumId w:val="5"/>
  </w:num>
  <w:num w:numId="5" w16cid:durableId="296226118">
    <w:abstractNumId w:val="0"/>
  </w:num>
  <w:num w:numId="6" w16cid:durableId="25359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33"/>
    <w:rsid w:val="0002696D"/>
    <w:rsid w:val="001C3DF2"/>
    <w:rsid w:val="002033EB"/>
    <w:rsid w:val="00425F33"/>
    <w:rsid w:val="004B3651"/>
    <w:rsid w:val="004E5C35"/>
    <w:rsid w:val="00502A14"/>
    <w:rsid w:val="0052164C"/>
    <w:rsid w:val="00547BB1"/>
    <w:rsid w:val="00584888"/>
    <w:rsid w:val="005A2448"/>
    <w:rsid w:val="00747F0F"/>
    <w:rsid w:val="008D6EBC"/>
    <w:rsid w:val="00A14C7E"/>
    <w:rsid w:val="00C72034"/>
    <w:rsid w:val="00DF1372"/>
    <w:rsid w:val="00E108AA"/>
    <w:rsid w:val="00F0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307C"/>
  <w15:chartTrackingRefBased/>
  <w15:docId w15:val="{A3CC7B60-E481-4F20-8782-190F3D7FD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Mohamed</dc:creator>
  <cp:keywords/>
  <dc:description/>
  <cp:lastModifiedBy>Jasmine Mohamed</cp:lastModifiedBy>
  <cp:revision>4</cp:revision>
  <dcterms:created xsi:type="dcterms:W3CDTF">2026-09-14T01:53:00Z</dcterms:created>
  <dcterms:modified xsi:type="dcterms:W3CDTF">2026-09-14T01:58:00Z</dcterms:modified>
</cp:coreProperties>
</file>