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E43E" w14:textId="08048F43" w:rsidR="00C72034" w:rsidRDefault="00425F33" w:rsidP="00425F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scRNA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-seq Analysis Results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1. Dataset Information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Dataset: GSE234832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Analysis type: Single-cell RNA sequencing (</w:t>
      </w: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scRNA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-seq)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Number of samples: 5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2. Samples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Sample| GEO Accession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BRBMET2| GSM7475324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BRBMET3| GSM7475325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BRBMET87| GSM7475326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LUBMET7| GSM7475327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LUBMET1| GSM7475328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3. Quality Control (QC)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Quality control was performed separately for each sample to identify and remove low-quality cells based on the selected quality-control metrics.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QC Metrics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The following metrics were evaluated: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 Number of detected genes ("</w:t>
      </w: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nFeature_RNA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 Number of RNA counts ("</w:t>
      </w: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nCount_RNA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")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 Percentage of mitochondrial genes ("percent.mt")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Cell Count Before and After QC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Sample| Cells Before QC| Cells After QC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BRBMET2| </w:t>
      </w:r>
      <w:r>
        <w:rPr>
          <w:rFonts w:ascii="Times New Roman" w:eastAsia="Times New Roman" w:hAnsi="Times New Roman" w:cs="Times New Roman"/>
          <w:kern w:val="0"/>
          <w14:ligatures w14:val="none"/>
        </w:rPr>
        <w:t>2,561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1,386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BRBMET3| </w:t>
      </w:r>
      <w:r>
        <w:rPr>
          <w:rFonts w:ascii="Times New Roman" w:eastAsia="Times New Roman" w:hAnsi="Times New Roman" w:cs="Times New Roman"/>
          <w:kern w:val="0"/>
          <w14:ligatures w14:val="none"/>
        </w:rPr>
        <w:t>2,509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>
        <w:rPr>
          <w:rFonts w:ascii="Times New Roman" w:eastAsia="Times New Roman" w:hAnsi="Times New Roman" w:cs="Times New Roman"/>
          <w:kern w:val="0"/>
          <w14:ligatures w14:val="none"/>
        </w:rPr>
        <w:t>1,3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88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BRBMET87| </w:t>
      </w:r>
      <w:r>
        <w:rPr>
          <w:rFonts w:ascii="Times New Roman" w:eastAsia="Times New Roman" w:hAnsi="Times New Roman" w:cs="Times New Roman"/>
          <w:kern w:val="0"/>
          <w14:ligatures w14:val="none"/>
        </w:rPr>
        <w:t>2,753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53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LUBMET7| </w:t>
      </w:r>
      <w:r>
        <w:rPr>
          <w:rFonts w:ascii="Times New Roman" w:eastAsia="Times New Roman" w:hAnsi="Times New Roman" w:cs="Times New Roman"/>
          <w:kern w:val="0"/>
          <w14:ligatures w14:val="none"/>
        </w:rPr>
        <w:t>2,433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C72034">
        <w:rPr>
          <w:rFonts w:ascii="Times New Roman" w:eastAsia="Times New Roman" w:hAnsi="Times New Roman" w:cs="Times New Roman"/>
          <w:kern w:val="0"/>
          <w14:ligatures w14:val="none"/>
        </w:rPr>
        <w:t>1,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66</w:t>
      </w:r>
      <w:r w:rsidR="00C72034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61A0F308" w14:textId="6918AE99" w:rsidR="00425F33" w:rsidRDefault="00425F33" w:rsidP="00DF13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LUBMET1| </w:t>
      </w:r>
      <w:r w:rsidR="00C72034">
        <w:rPr>
          <w:rFonts w:ascii="Times New Roman" w:eastAsia="Times New Roman" w:hAnsi="Times New Roman" w:cs="Times New Roman"/>
          <w:kern w:val="0"/>
          <w14:ligatures w14:val="none"/>
        </w:rPr>
        <w:t>640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601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Total| </w:t>
      </w:r>
      <w:r w:rsidR="00C72034">
        <w:rPr>
          <w:rFonts w:ascii="Times New Roman" w:eastAsia="Times New Roman" w:hAnsi="Times New Roman" w:cs="Times New Roman"/>
          <w:kern w:val="0"/>
          <w14:ligatures w14:val="none"/>
        </w:rPr>
        <w:t>10,896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="00C72034">
        <w:rPr>
          <w:rFonts w:ascii="Times New Roman" w:eastAsia="Times New Roman" w:hAnsi="Times New Roman" w:cs="Times New Roman"/>
          <w:kern w:val="0"/>
          <w14:ligatures w14:val="none"/>
        </w:rPr>
        <w:t>5,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890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 Doublet Detection and Removal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Doublet detection was performed using </w:t>
      </w: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scDblFinder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. Cells classified as doublets were removed, and only singlet cells were retained for downstream analysis.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Doublet Removal Results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t>Sample| Doublets Removed| Singlets Retained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BRBMET2| 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57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t>| 1,329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>BRBMET3| 56| 1,332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>BRBMET87| 28| 825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>LUBMET7| 80| 1,582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>LUBMET1| 25| 576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br/>
        <w:t>Total| 2</w:t>
      </w:r>
      <w:r w:rsidR="00E108AA">
        <w:rPr>
          <w:rFonts w:ascii="Times New Roman" w:eastAsia="Times New Roman" w:hAnsi="Times New Roman" w:cs="Times New Roman"/>
          <w:kern w:val="0"/>
          <w14:ligatures w14:val="none"/>
        </w:rPr>
        <w:t>46</w:t>
      </w:r>
      <w:r w:rsidR="00DF1372" w:rsidRPr="00DF1372">
        <w:rPr>
          <w:rFonts w:ascii="Times New Roman" w:eastAsia="Times New Roman" w:hAnsi="Times New Roman" w:cs="Times New Roman"/>
          <w:kern w:val="0"/>
          <w14:ligatures w14:val="none"/>
        </w:rPr>
        <w:t>| 5,644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5. Final Cell Count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After quality control and doublet removal, the remaining singlet cells were retained for downstream analysis.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Final number of cells: </w:t>
      </w:r>
      <w:r w:rsidR="00DF1372">
        <w:rPr>
          <w:rFonts w:ascii="Times New Roman" w:eastAsia="Times New Roman" w:hAnsi="Times New Roman" w:cs="Times New Roman"/>
          <w:kern w:val="0"/>
          <w14:ligatures w14:val="none"/>
        </w:rPr>
        <w:t>5,644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6. Normalizatio</w:t>
      </w:r>
      <w:r w:rsidR="001C3DF2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filtered singlet cells were normalized using the </w:t>
      </w:r>
      <w:proofErr w:type="spellStart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>LogNormalize</w:t>
      </w:r>
      <w:proofErr w:type="spellEnd"/>
      <w:r w:rsidRPr="00425F33">
        <w:rPr>
          <w:rFonts w:ascii="Times New Roman" w:eastAsia="Times New Roman" w:hAnsi="Times New Roman" w:cs="Times New Roman"/>
          <w:kern w:val="0"/>
          <w14:ligatures w14:val="none"/>
        </w:rPr>
        <w:t xml:space="preserve"> method with a scale factor of 10,000.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---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7. Highly Variable Genes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Highly variable genes were identified using the Variance Stabilizing Transformation (VST) method.</w:t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F33">
        <w:rPr>
          <w:rFonts w:ascii="Times New Roman" w:eastAsia="Times New Roman" w:hAnsi="Times New Roman" w:cs="Times New Roman"/>
          <w:kern w:val="0"/>
          <w14:ligatures w14:val="none"/>
        </w:rPr>
        <w:br/>
        <w:t>The top 2,000 highly variable genes were selected for subsequent analysis.</w:t>
      </w:r>
    </w:p>
    <w:p w14:paraId="1DB80526" w14:textId="77777777" w:rsidR="00547BB1" w:rsidRPr="00425F33" w:rsidRDefault="00547BB1" w:rsidP="00547BB1">
      <w:pPr>
        <w:pBdr>
          <w:bottom w:val="single" w:sz="4" w:space="3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00FA3" w14:textId="77777777" w:rsidR="00547BB1" w:rsidRPr="00547BB1" w:rsidRDefault="00547BB1" w:rsidP="00547BB1">
      <w:r w:rsidRPr="00547BB1">
        <w:pict w14:anchorId="1AB79948">
          <v:rect id="_x0000_i1031" style="width:0;height:1.5pt" o:hralign="center" o:hrstd="t" o:hr="t" fillcolor="#a0a0a0" stroked="f"/>
        </w:pict>
      </w:r>
    </w:p>
    <w:p w14:paraId="1BE4A7B3" w14:textId="77777777" w:rsidR="00547BB1" w:rsidRPr="00547BB1" w:rsidRDefault="00547BB1" w:rsidP="00547BB1">
      <w:proofErr w:type="spellStart"/>
      <w:r w:rsidRPr="00547BB1">
        <w:rPr>
          <w:b/>
          <w:bCs/>
        </w:rPr>
        <w:lastRenderedPageBreak/>
        <w:t>scRNA</w:t>
      </w:r>
      <w:proofErr w:type="spellEnd"/>
      <w:r w:rsidRPr="00547BB1">
        <w:rPr>
          <w:b/>
          <w:bCs/>
        </w:rPr>
        <w:t>-seq Analysis Results — Progress Summary (Omar's part)</w:t>
      </w:r>
    </w:p>
    <w:p w14:paraId="2E023C72" w14:textId="77777777" w:rsidR="00547BB1" w:rsidRPr="00547BB1" w:rsidRDefault="00547BB1" w:rsidP="00547BB1">
      <w:r w:rsidRPr="00547BB1">
        <w:rPr>
          <w:b/>
          <w:bCs/>
        </w:rPr>
        <w:t>1. PCA (Dimensionality Reduction)</w:t>
      </w:r>
    </w:p>
    <w:p w14:paraId="26D5A0A8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Principal Component Analysis (PCA) was performed on the scaled data</w:t>
      </w:r>
    </w:p>
    <w:p w14:paraId="6C810C32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The first 30 principal components were used, following the methodology of the original paper</w:t>
      </w:r>
    </w:p>
    <w:p w14:paraId="2DBDB8BA" w14:textId="77777777" w:rsidR="00547BB1" w:rsidRPr="00547BB1" w:rsidRDefault="00547BB1" w:rsidP="00547BB1">
      <w:pPr>
        <w:numPr>
          <w:ilvl w:val="0"/>
          <w:numId w:val="1"/>
        </w:numPr>
      </w:pPr>
      <w:r w:rsidRPr="00547BB1">
        <w:t>An Elbow Plot was examined to confirm the appropriate number of PCs</w:t>
      </w:r>
    </w:p>
    <w:p w14:paraId="62647409" w14:textId="77777777" w:rsidR="00547BB1" w:rsidRPr="00547BB1" w:rsidRDefault="00547BB1" w:rsidP="00547BB1">
      <w:r w:rsidRPr="00547BB1">
        <w:rPr>
          <w:b/>
          <w:bCs/>
        </w:rPr>
        <w:t>2. Batch Correction (Harmony)</w:t>
      </w:r>
    </w:p>
    <w:p w14:paraId="42C46D83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The data showed a clear batch effect across the five samples (BRBMET2, BRBMET3, BRBMET87, LUBMET1, LUBMET7)</w:t>
      </w:r>
    </w:p>
    <w:p w14:paraId="04AA182E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Harmony was used to correct for batch effects (</w:t>
      </w:r>
      <w:proofErr w:type="spellStart"/>
      <w:proofErr w:type="gramStart"/>
      <w:r w:rsidRPr="00547BB1">
        <w:t>group.by.vars</w:t>
      </w:r>
      <w:proofErr w:type="spellEnd"/>
      <w:proofErr w:type="gramEnd"/>
      <w:r w:rsidRPr="00547BB1">
        <w:t xml:space="preserve"> = "</w:t>
      </w:r>
      <w:proofErr w:type="spellStart"/>
      <w:proofErr w:type="gramStart"/>
      <w:r w:rsidRPr="00547BB1">
        <w:t>orig.ident</w:t>
      </w:r>
      <w:proofErr w:type="spellEnd"/>
      <w:proofErr w:type="gramEnd"/>
      <w:r w:rsidRPr="00547BB1">
        <w:t xml:space="preserve">", </w:t>
      </w:r>
      <w:proofErr w:type="spellStart"/>
      <w:r w:rsidRPr="00547BB1">
        <w:t>dims.use</w:t>
      </w:r>
      <w:proofErr w:type="spellEnd"/>
      <w:r w:rsidRPr="00547BB1">
        <w:t xml:space="preserve"> = 1:30)</w:t>
      </w:r>
    </w:p>
    <w:p w14:paraId="0C6E4B2C" w14:textId="77777777" w:rsidR="00547BB1" w:rsidRPr="00547BB1" w:rsidRDefault="00547BB1" w:rsidP="00547BB1">
      <w:pPr>
        <w:numPr>
          <w:ilvl w:val="0"/>
          <w:numId w:val="2"/>
        </w:numPr>
      </w:pPr>
      <w:r w:rsidRPr="00547BB1">
        <w:t>After correction, most samples showed good overlap in the UMAP, except for LUBMET1, which remained partially separated — most likely due to differences in sequencing depth rather than a true biological difference</w:t>
      </w:r>
    </w:p>
    <w:p w14:paraId="7E467BC5" w14:textId="77777777" w:rsidR="00547BB1" w:rsidRPr="00547BB1" w:rsidRDefault="00547BB1" w:rsidP="00547BB1">
      <w:r w:rsidRPr="00547BB1">
        <w:rPr>
          <w:b/>
          <w:bCs/>
        </w:rPr>
        <w:t>3. Clustering</w:t>
      </w:r>
    </w:p>
    <w:p w14:paraId="71073BE2" w14:textId="77777777" w:rsidR="00547BB1" w:rsidRPr="00547BB1" w:rsidRDefault="00547BB1" w:rsidP="00547BB1">
      <w:pPr>
        <w:numPr>
          <w:ilvl w:val="0"/>
          <w:numId w:val="3"/>
        </w:numPr>
      </w:pPr>
      <w:r w:rsidRPr="00547BB1">
        <w:t xml:space="preserve">14 clusters (0 to 13) were identified using </w:t>
      </w:r>
      <w:proofErr w:type="spellStart"/>
      <w:r w:rsidRPr="00547BB1">
        <w:t>FindNeighbors</w:t>
      </w:r>
      <w:proofErr w:type="spellEnd"/>
      <w:r w:rsidRPr="00547BB1">
        <w:t xml:space="preserve"> + </w:t>
      </w:r>
      <w:proofErr w:type="spellStart"/>
      <w:r w:rsidRPr="00547BB1">
        <w:t>FindClusters</w:t>
      </w:r>
      <w:proofErr w:type="spellEnd"/>
      <w:r w:rsidRPr="00547BB1">
        <w:t xml:space="preserve"> (resolution = 0.5) on the Harmony reduction</w:t>
      </w:r>
    </w:p>
    <w:p w14:paraId="3D914F1A" w14:textId="77777777" w:rsidR="00547BB1" w:rsidRPr="00547BB1" w:rsidRDefault="00547BB1" w:rsidP="00547BB1">
      <w:pPr>
        <w:numPr>
          <w:ilvl w:val="0"/>
          <w:numId w:val="3"/>
        </w:numPr>
      </w:pPr>
      <w:r w:rsidRPr="00547BB1">
        <w:t>UMAP visualization was generated to display the clusters</w:t>
      </w:r>
    </w:p>
    <w:p w14:paraId="0A9477FC" w14:textId="77777777" w:rsidR="00547BB1" w:rsidRPr="00547BB1" w:rsidRDefault="00547BB1" w:rsidP="00547BB1">
      <w:r w:rsidRPr="00547BB1">
        <w:rPr>
          <w:b/>
          <w:bCs/>
        </w:rPr>
        <w:t>4. Marker Gene Identification</w:t>
      </w:r>
    </w:p>
    <w:p w14:paraId="7CCBA25C" w14:textId="77777777" w:rsidR="00547BB1" w:rsidRPr="00547BB1" w:rsidRDefault="00547BB1" w:rsidP="00547BB1">
      <w:pPr>
        <w:numPr>
          <w:ilvl w:val="0"/>
          <w:numId w:val="4"/>
        </w:numPr>
      </w:pPr>
      <w:proofErr w:type="spellStart"/>
      <w:r w:rsidRPr="00547BB1">
        <w:t>FindAllMarkers</w:t>
      </w:r>
      <w:proofErr w:type="spellEnd"/>
      <w:r w:rsidRPr="00547BB1">
        <w:t xml:space="preserve"> was used to identify the top marker genes for each cluster</w:t>
      </w:r>
    </w:p>
    <w:p w14:paraId="2B209CE2" w14:textId="77777777" w:rsidR="00547BB1" w:rsidRPr="00547BB1" w:rsidRDefault="00547BB1" w:rsidP="00547BB1">
      <w:pPr>
        <w:numPr>
          <w:ilvl w:val="0"/>
          <w:numId w:val="4"/>
        </w:numPr>
      </w:pPr>
      <w:r w:rsidRPr="00547BB1">
        <w:t xml:space="preserve">Preliminary (unconfirmed) results suggest the presence of: Macrophages/Microglia, Tumor cells, </w:t>
      </w:r>
      <w:proofErr w:type="gramStart"/>
      <w:r w:rsidRPr="00547BB1">
        <w:t>Proliferating</w:t>
      </w:r>
      <w:proofErr w:type="gramEnd"/>
      <w:r w:rsidRPr="00547BB1">
        <w:t xml:space="preserve"> cells, T cells, Oligodendrocytes, Fibroblasts, B cells, Endothelial cells, and other cell types — pending final review</w:t>
      </w:r>
    </w:p>
    <w:p w14:paraId="1D2F4E83" w14:textId="77777777" w:rsidR="00547BB1" w:rsidRPr="00547BB1" w:rsidRDefault="00547BB1" w:rsidP="00547BB1">
      <w:r w:rsidRPr="00547BB1">
        <w:rPr>
          <w:b/>
          <w:bCs/>
        </w:rPr>
        <w:t xml:space="preserve">5. Fibroblast </w:t>
      </w:r>
      <w:proofErr w:type="spellStart"/>
      <w:r w:rsidRPr="00547BB1">
        <w:rPr>
          <w:b/>
          <w:bCs/>
        </w:rPr>
        <w:t>Subclustering</w:t>
      </w:r>
      <w:proofErr w:type="spellEnd"/>
    </w:p>
    <w:p w14:paraId="3AE3CB36" w14:textId="77777777" w:rsidR="00547BB1" w:rsidRPr="00547BB1" w:rsidRDefault="00547BB1" w:rsidP="00547BB1">
      <w:pPr>
        <w:numPr>
          <w:ilvl w:val="0"/>
          <w:numId w:val="5"/>
        </w:numPr>
      </w:pPr>
      <w:r w:rsidRPr="00547BB1">
        <w:t>The Fibroblast cluster (cluster 7) was isolated and re-analyzed through sub-clustering</w:t>
      </w:r>
    </w:p>
    <w:p w14:paraId="4FF7A55E" w14:textId="77777777" w:rsidR="00547BB1" w:rsidRPr="00547BB1" w:rsidRDefault="00547BB1" w:rsidP="00547BB1">
      <w:pPr>
        <w:numPr>
          <w:ilvl w:val="0"/>
          <w:numId w:val="5"/>
        </w:numPr>
      </w:pPr>
      <w:r w:rsidRPr="00547BB1">
        <w:t>3 subclusters (0, 1, 2) were identified within the Fibroblast population</w:t>
      </w:r>
    </w:p>
    <w:p w14:paraId="2B6381C2" w14:textId="73A9CDFA" w:rsidR="00547BB1" w:rsidRPr="00547BB1" w:rsidRDefault="00547BB1" w:rsidP="00547BB1">
      <w:pPr>
        <w:numPr>
          <w:ilvl w:val="0"/>
          <w:numId w:val="5"/>
        </w:numPr>
      </w:pPr>
      <w:r w:rsidRPr="00547BB1">
        <w:t>Top marker genes were identified for each subcluster</w:t>
      </w:r>
    </w:p>
    <w:p w14:paraId="680CB3FD" w14:textId="1A6F5D1F" w:rsidR="00F05E83" w:rsidRDefault="00F05E83" w:rsidP="00547BB1">
      <w:pPr>
        <w:pBdr>
          <w:top w:val="single" w:sz="4" w:space="1" w:color="auto"/>
          <w:bottom w:val="single" w:sz="4" w:space="1" w:color="auto"/>
        </w:pBdr>
      </w:pPr>
    </w:p>
    <w:sectPr w:rsidR="00F05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408B"/>
    <w:multiLevelType w:val="multilevel"/>
    <w:tmpl w:val="883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A4DFC"/>
    <w:multiLevelType w:val="multilevel"/>
    <w:tmpl w:val="06D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94624"/>
    <w:multiLevelType w:val="multilevel"/>
    <w:tmpl w:val="1EF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A33C2"/>
    <w:multiLevelType w:val="multilevel"/>
    <w:tmpl w:val="9CE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C7744"/>
    <w:multiLevelType w:val="multilevel"/>
    <w:tmpl w:val="8D1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07B7E"/>
    <w:multiLevelType w:val="multilevel"/>
    <w:tmpl w:val="E38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258748">
    <w:abstractNumId w:val="3"/>
  </w:num>
  <w:num w:numId="2" w16cid:durableId="1591429884">
    <w:abstractNumId w:val="4"/>
  </w:num>
  <w:num w:numId="3" w16cid:durableId="249848704">
    <w:abstractNumId w:val="2"/>
  </w:num>
  <w:num w:numId="4" w16cid:durableId="1252397225">
    <w:abstractNumId w:val="5"/>
  </w:num>
  <w:num w:numId="5" w16cid:durableId="296226118">
    <w:abstractNumId w:val="0"/>
  </w:num>
  <w:num w:numId="6" w16cid:durableId="25359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33"/>
    <w:rsid w:val="0002696D"/>
    <w:rsid w:val="001C3DF2"/>
    <w:rsid w:val="002033EB"/>
    <w:rsid w:val="00425F33"/>
    <w:rsid w:val="004B3651"/>
    <w:rsid w:val="00502A14"/>
    <w:rsid w:val="0052164C"/>
    <w:rsid w:val="00547BB1"/>
    <w:rsid w:val="005A2448"/>
    <w:rsid w:val="00A14C7E"/>
    <w:rsid w:val="00C72034"/>
    <w:rsid w:val="00DF1372"/>
    <w:rsid w:val="00E108AA"/>
    <w:rsid w:val="00F0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307C"/>
  <w15:chartTrackingRefBased/>
  <w15:docId w15:val="{A3CC7B60-E481-4F20-8782-190F3D7FD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Mohamed</dc:creator>
  <cp:keywords/>
  <dc:description/>
  <cp:lastModifiedBy>Omar Khaled</cp:lastModifiedBy>
  <cp:revision>2</cp:revision>
  <dcterms:created xsi:type="dcterms:W3CDTF">2026-09-12T23:09:00Z</dcterms:created>
  <dcterms:modified xsi:type="dcterms:W3CDTF">2026-09-12T23:09:00Z</dcterms:modified>
</cp:coreProperties>
</file>