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39E9" w14:textId="77777777" w:rsidR="00FB1DE2" w:rsidRDefault="00FB1DE2">
      <w:pPr>
        <w:pStyle w:val="Heading1"/>
        <w:rPr>
          <w:rFonts w:eastAsia="Times New Roman"/>
          <w:kern w:val="36"/>
          <w:sz w:val="48"/>
          <w:szCs w:val="48"/>
          <w14:ligatures w14:val="none"/>
        </w:rPr>
      </w:pPr>
      <w:r>
        <w:rPr>
          <w:rFonts w:eastAsia="Times New Roman"/>
        </w:rPr>
        <w:t>Results</w:t>
      </w:r>
    </w:p>
    <w:p w14:paraId="65E19774" w14:textId="77777777" w:rsidR="00FB1DE2" w:rsidRDefault="00FB1DE2">
      <w:pPr>
        <w:pStyle w:val="Heading2"/>
        <w:rPr>
          <w:rFonts w:eastAsia="Times New Roman"/>
        </w:rPr>
      </w:pPr>
      <w:r>
        <w:rPr>
          <w:rFonts w:eastAsia="Times New Roman"/>
        </w:rPr>
        <w:t>1. Data Loading and Sample Preparation</w:t>
      </w:r>
    </w:p>
    <w:p w14:paraId="1A7C2811" w14:textId="77777777" w:rsidR="00FB1DE2" w:rsidRDefault="00FB1DE2">
      <w:pPr>
        <w:pStyle w:val="NormalWeb"/>
      </w:pPr>
      <w:r>
        <w:t>Single-cell RNA sequencing data from five brain metastasis samples were loaded and processed using Seurat. The dataset included three breast cancer brain metastasis samples and two lung cancer brain metastasis samples.</w:t>
      </w:r>
    </w:p>
    <w:p w14:paraId="2819CF5F" w14:textId="77777777" w:rsidR="00FB1DE2" w:rsidRDefault="00FB1DE2">
      <w:pPr>
        <w:pStyle w:val="NormalWeb"/>
      </w:pPr>
      <w:r>
        <w:t>The samples were identified as:</w:t>
      </w:r>
    </w:p>
    <w:p w14:paraId="01353606"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BRBMET2</w:t>
      </w:r>
    </w:p>
    <w:p w14:paraId="716634BB"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BRBMET3</w:t>
      </w:r>
    </w:p>
    <w:p w14:paraId="7901DEBF"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BRBMET87</w:t>
      </w:r>
    </w:p>
    <w:p w14:paraId="57CB3182"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LUBMET7</w:t>
      </w:r>
    </w:p>
    <w:p w14:paraId="29372643" w14:textId="77777777" w:rsidR="00FB1DE2" w:rsidRDefault="00FB1DE2" w:rsidP="00FB1DE2">
      <w:pPr>
        <w:numPr>
          <w:ilvl w:val="0"/>
          <w:numId w:val="1"/>
        </w:numPr>
        <w:spacing w:before="100" w:beforeAutospacing="1" w:after="100" w:afterAutospacing="1" w:line="240" w:lineRule="auto"/>
        <w:rPr>
          <w:rFonts w:eastAsia="Times New Roman"/>
        </w:rPr>
      </w:pPr>
      <w:r>
        <w:rPr>
          <w:rFonts w:eastAsia="Times New Roman"/>
        </w:rPr>
        <w:t>LUBMET1</w:t>
      </w:r>
    </w:p>
    <w:p w14:paraId="43C3B09B" w14:textId="77777777" w:rsidR="00FB1DE2" w:rsidRDefault="00FB1DE2">
      <w:pPr>
        <w:pStyle w:val="NormalWeb"/>
      </w:pPr>
      <w:r>
        <w:t>The expression matrices, feature annotations, and cell barcodes were loaded separately for each sample and converted into Seurat objects for downstream analysis.</w:t>
      </w:r>
    </w:p>
    <w:p w14:paraId="455B0319" w14:textId="77777777" w:rsidR="00FB1DE2" w:rsidRDefault="00FB1DE2">
      <w:pPr>
        <w:pStyle w:val="Heading2"/>
        <w:rPr>
          <w:rFonts w:eastAsia="Times New Roman"/>
        </w:rPr>
      </w:pPr>
      <w:r>
        <w:rPr>
          <w:rFonts w:eastAsia="Times New Roman"/>
        </w:rPr>
        <w:t>2. Quality Control and Doublet Removal</w:t>
      </w:r>
    </w:p>
    <w:p w14:paraId="4F92B949" w14:textId="77777777" w:rsidR="00FB1DE2" w:rsidRDefault="00FB1DE2">
      <w:pPr>
        <w:pStyle w:val="NormalWeb"/>
      </w:pPr>
      <w:r>
        <w:t>Quality control was performed independently for each sample using mitochondrial gene expression and the number of detected genes per cell.</w:t>
      </w:r>
    </w:p>
    <w:p w14:paraId="4ADB123D" w14:textId="77777777" w:rsidR="00FB1DE2" w:rsidRDefault="00FB1DE2">
      <w:pPr>
        <w:pStyle w:val="NormalWeb"/>
      </w:pPr>
      <w:r>
        <w:t>Adaptive filtering thresholds were calculated using the median and median absolute deviation (MAD) of each sample. Cells with high mitochondrial gene expression or unusually low or high gene counts were removed.</w:t>
      </w:r>
    </w:p>
    <w:p w14:paraId="51579D81" w14:textId="77777777" w:rsidR="00FB1DE2" w:rsidRDefault="00FB1DE2">
      <w:pPr>
        <w:pStyle w:val="NormalWeb"/>
      </w:pPr>
      <w:r>
        <w:t>After quality control, the remaining cells from all five samples were merged into a single Seurat object.</w:t>
      </w:r>
    </w:p>
    <w:p w14:paraId="2942348F" w14:textId="77777777" w:rsidR="00FB1DE2" w:rsidRDefault="00FB1DE2">
      <w:pPr>
        <w:pStyle w:val="NormalWeb"/>
      </w:pPr>
      <w:r>
        <w:t xml:space="preserve">Doublet detection was performed using </w:t>
      </w:r>
      <w:proofErr w:type="spellStart"/>
      <w:r>
        <w:t>scDblFinder</w:t>
      </w:r>
      <w:proofErr w:type="spellEnd"/>
      <w:r>
        <w:t>, with sample identity included in the analysis. Cells classified as doublets were removed, and singlet cells were retained for downstream analysis.</w:t>
      </w:r>
    </w:p>
    <w:p w14:paraId="6BE70B7E" w14:textId="77777777" w:rsidR="00FB1DE2" w:rsidRDefault="00FB1DE2">
      <w:pPr>
        <w:pStyle w:val="Heading3"/>
        <w:rPr>
          <w:rFonts w:eastAsia="Times New Roman"/>
        </w:rPr>
      </w:pPr>
      <w:r>
        <w:rPr>
          <w:rFonts w:eastAsia="Times New Roman"/>
        </w:rPr>
        <w:t>Cell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1810"/>
      </w:tblGrid>
      <w:tr w:rsidR="00FB1DE2" w14:paraId="0DECBF07" w14:textId="77777777" w:rsidTr="00B235B1">
        <w:trPr>
          <w:tblHeader/>
          <w:tblCellSpacing w:w="15" w:type="dxa"/>
        </w:trPr>
        <w:tc>
          <w:tcPr>
            <w:tcW w:w="0" w:type="auto"/>
            <w:vAlign w:val="center"/>
            <w:hideMark/>
          </w:tcPr>
          <w:p w14:paraId="19B0CDCC" w14:textId="77777777" w:rsidR="00FB1DE2" w:rsidRDefault="00FB1DE2">
            <w:pPr>
              <w:jc w:val="center"/>
              <w:rPr>
                <w:rFonts w:eastAsia="Times New Roman"/>
                <w:b/>
                <w:bCs/>
              </w:rPr>
            </w:pPr>
            <w:r>
              <w:rPr>
                <w:rFonts w:eastAsia="Times New Roman"/>
                <w:b/>
                <w:bCs/>
              </w:rPr>
              <w:t>Processing step</w:t>
            </w:r>
          </w:p>
        </w:tc>
        <w:tc>
          <w:tcPr>
            <w:tcW w:w="0" w:type="auto"/>
            <w:vAlign w:val="center"/>
            <w:hideMark/>
          </w:tcPr>
          <w:p w14:paraId="2ED3C9AD" w14:textId="77777777" w:rsidR="00FB1DE2" w:rsidRDefault="00FB1DE2">
            <w:pPr>
              <w:jc w:val="right"/>
              <w:rPr>
                <w:rFonts w:eastAsia="Times New Roman"/>
                <w:b/>
                <w:bCs/>
              </w:rPr>
            </w:pPr>
            <w:r>
              <w:rPr>
                <w:rFonts w:eastAsia="Times New Roman"/>
                <w:b/>
                <w:bCs/>
              </w:rPr>
              <w:t>Number of cells</w:t>
            </w:r>
          </w:p>
        </w:tc>
      </w:tr>
      <w:tr w:rsidR="00FB1DE2" w14:paraId="0F9DC3C6" w14:textId="77777777" w:rsidTr="00B235B1">
        <w:trPr>
          <w:tblCellSpacing w:w="15" w:type="dxa"/>
        </w:trPr>
        <w:tc>
          <w:tcPr>
            <w:tcW w:w="0" w:type="auto"/>
            <w:vAlign w:val="center"/>
            <w:hideMark/>
          </w:tcPr>
          <w:p w14:paraId="4E692677" w14:textId="77777777" w:rsidR="00FB1DE2" w:rsidRDefault="00FB1DE2">
            <w:pPr>
              <w:rPr>
                <w:rFonts w:eastAsia="Times New Roman"/>
              </w:rPr>
            </w:pPr>
            <w:r>
              <w:rPr>
                <w:rFonts w:eastAsia="Times New Roman"/>
              </w:rPr>
              <w:t>Total cells before QC</w:t>
            </w:r>
          </w:p>
        </w:tc>
        <w:tc>
          <w:tcPr>
            <w:tcW w:w="0" w:type="auto"/>
            <w:vAlign w:val="center"/>
            <w:hideMark/>
          </w:tcPr>
          <w:p w14:paraId="32F5828A" w14:textId="21D0B42A" w:rsidR="00FB1DE2" w:rsidRDefault="00FB1DE2">
            <w:pPr>
              <w:jc w:val="right"/>
              <w:rPr>
                <w:rFonts w:eastAsia="Times New Roman"/>
              </w:rPr>
            </w:pPr>
            <w:r>
              <w:rPr>
                <w:rFonts w:eastAsia="Times New Roman"/>
              </w:rPr>
              <w:t>[</w:t>
            </w:r>
            <w:r w:rsidR="00AC3CAE">
              <w:rPr>
                <w:rFonts w:eastAsia="Times New Roman" w:hint="cs"/>
                <w:lang w:bidi="ar-EG"/>
              </w:rPr>
              <w:t>108</w:t>
            </w:r>
            <w:r w:rsidR="00B235B1">
              <w:rPr>
                <w:rFonts w:eastAsia="Times New Roman" w:hint="cs"/>
                <w:lang w:bidi="ar-EG"/>
              </w:rPr>
              <w:t>96</w:t>
            </w:r>
            <w:r>
              <w:rPr>
                <w:rFonts w:eastAsia="Times New Roman"/>
              </w:rPr>
              <w:t>]</w:t>
            </w:r>
          </w:p>
        </w:tc>
      </w:tr>
      <w:tr w:rsidR="00FB1DE2" w14:paraId="3F2F1255" w14:textId="77777777" w:rsidTr="00B235B1">
        <w:trPr>
          <w:tblCellSpacing w:w="15" w:type="dxa"/>
        </w:trPr>
        <w:tc>
          <w:tcPr>
            <w:tcW w:w="0" w:type="auto"/>
            <w:vAlign w:val="center"/>
            <w:hideMark/>
          </w:tcPr>
          <w:p w14:paraId="326C3C07" w14:textId="77777777" w:rsidR="00FB1DE2" w:rsidRDefault="00FB1DE2">
            <w:pPr>
              <w:rPr>
                <w:rFonts w:eastAsia="Times New Roman"/>
              </w:rPr>
            </w:pPr>
            <w:r>
              <w:rPr>
                <w:rFonts w:eastAsia="Times New Roman"/>
              </w:rPr>
              <w:t>Cells after QC</w:t>
            </w:r>
          </w:p>
        </w:tc>
        <w:tc>
          <w:tcPr>
            <w:tcW w:w="0" w:type="auto"/>
            <w:vAlign w:val="center"/>
            <w:hideMark/>
          </w:tcPr>
          <w:p w14:paraId="7D479BC0" w14:textId="4A68EB6A" w:rsidR="00FB1DE2" w:rsidRDefault="00FB1DE2">
            <w:pPr>
              <w:jc w:val="right"/>
              <w:rPr>
                <w:rFonts w:eastAsia="Times New Roman"/>
              </w:rPr>
            </w:pPr>
            <w:r>
              <w:rPr>
                <w:rFonts w:eastAsia="Times New Roman"/>
              </w:rPr>
              <w:t>[</w:t>
            </w:r>
            <w:r w:rsidR="007C6B54">
              <w:rPr>
                <w:rFonts w:eastAsia="Times New Roman" w:hint="cs"/>
                <w:rtl/>
              </w:rPr>
              <w:t>7158</w:t>
            </w:r>
            <w:r>
              <w:rPr>
                <w:rFonts w:eastAsia="Times New Roman"/>
              </w:rPr>
              <w:t>]</w:t>
            </w:r>
          </w:p>
        </w:tc>
      </w:tr>
      <w:tr w:rsidR="00FB1DE2" w14:paraId="1C244D45" w14:textId="77777777" w:rsidTr="00B235B1">
        <w:trPr>
          <w:tblCellSpacing w:w="15" w:type="dxa"/>
        </w:trPr>
        <w:tc>
          <w:tcPr>
            <w:tcW w:w="0" w:type="auto"/>
            <w:vAlign w:val="center"/>
            <w:hideMark/>
          </w:tcPr>
          <w:p w14:paraId="0BDF0AD8" w14:textId="77777777" w:rsidR="00FB1DE2" w:rsidRDefault="00FB1DE2">
            <w:pPr>
              <w:rPr>
                <w:rFonts w:eastAsia="Times New Roman"/>
              </w:rPr>
            </w:pPr>
            <w:r>
              <w:rPr>
                <w:rFonts w:eastAsia="Times New Roman"/>
              </w:rPr>
              <w:lastRenderedPageBreak/>
              <w:t>Doublets detected</w:t>
            </w:r>
          </w:p>
        </w:tc>
        <w:tc>
          <w:tcPr>
            <w:tcW w:w="0" w:type="auto"/>
            <w:vAlign w:val="center"/>
            <w:hideMark/>
          </w:tcPr>
          <w:p w14:paraId="06AFAA48" w14:textId="63B1920D" w:rsidR="00FB1DE2" w:rsidRDefault="00FB1DE2">
            <w:pPr>
              <w:jc w:val="right"/>
              <w:rPr>
                <w:rFonts w:eastAsia="Times New Roman"/>
              </w:rPr>
            </w:pPr>
            <w:r>
              <w:rPr>
                <w:rFonts w:eastAsia="Times New Roman"/>
              </w:rPr>
              <w:t>[</w:t>
            </w:r>
            <w:r w:rsidR="007C6B54">
              <w:rPr>
                <w:rFonts w:eastAsia="Times New Roman" w:hint="cs"/>
                <w:rtl/>
              </w:rPr>
              <w:t>323</w:t>
            </w:r>
            <w:r>
              <w:rPr>
                <w:rFonts w:eastAsia="Times New Roman"/>
              </w:rPr>
              <w:t>]</w:t>
            </w:r>
          </w:p>
        </w:tc>
      </w:tr>
      <w:tr w:rsidR="00FB1DE2" w14:paraId="17600EAC" w14:textId="77777777" w:rsidTr="00B235B1">
        <w:trPr>
          <w:tblCellSpacing w:w="15" w:type="dxa"/>
        </w:trPr>
        <w:tc>
          <w:tcPr>
            <w:tcW w:w="0" w:type="auto"/>
            <w:vAlign w:val="center"/>
            <w:hideMark/>
          </w:tcPr>
          <w:p w14:paraId="37B523FD" w14:textId="77777777" w:rsidR="00FB1DE2" w:rsidRDefault="00FB1DE2">
            <w:pPr>
              <w:rPr>
                <w:rFonts w:eastAsia="Times New Roman"/>
              </w:rPr>
            </w:pPr>
            <w:r>
              <w:rPr>
                <w:rFonts w:eastAsia="Times New Roman"/>
              </w:rPr>
              <w:t>Final singlet cells</w:t>
            </w:r>
          </w:p>
        </w:tc>
        <w:tc>
          <w:tcPr>
            <w:tcW w:w="0" w:type="auto"/>
            <w:vAlign w:val="center"/>
            <w:hideMark/>
          </w:tcPr>
          <w:p w14:paraId="3B32652C" w14:textId="5EF5A0A9" w:rsidR="00FB1DE2" w:rsidRDefault="00FB1DE2">
            <w:pPr>
              <w:jc w:val="right"/>
              <w:rPr>
                <w:rFonts w:eastAsia="Times New Roman"/>
              </w:rPr>
            </w:pPr>
            <w:r>
              <w:rPr>
                <w:rFonts w:eastAsia="Times New Roman"/>
              </w:rPr>
              <w:t>[</w:t>
            </w:r>
            <w:r w:rsidR="007C6B54">
              <w:rPr>
                <w:rFonts w:eastAsia="Times New Roman" w:hint="cs"/>
                <w:rtl/>
              </w:rPr>
              <w:t>6835</w:t>
            </w:r>
            <w:r>
              <w:rPr>
                <w:rFonts w:eastAsia="Times New Roman"/>
              </w:rPr>
              <w:t>]</w:t>
            </w:r>
          </w:p>
        </w:tc>
      </w:tr>
    </w:tbl>
    <w:p w14:paraId="5B1F8D1D" w14:textId="77777777" w:rsidR="00FB1DE2" w:rsidRDefault="00FB1DE2">
      <w:pPr>
        <w:pStyle w:val="Heading2"/>
        <w:rPr>
          <w:rFonts w:eastAsia="Times New Roman"/>
        </w:rPr>
      </w:pPr>
      <w:r>
        <w:rPr>
          <w:rFonts w:eastAsia="Times New Roman"/>
        </w:rPr>
        <w:t>3. Normalization and Identification of Variable Features</w:t>
      </w:r>
    </w:p>
    <w:p w14:paraId="647566F4" w14:textId="77777777" w:rsidR="00FB1DE2" w:rsidRDefault="00FB1DE2">
      <w:pPr>
        <w:pStyle w:val="NormalWeb"/>
      </w:pPr>
      <w:r>
        <w:t xml:space="preserve">The filtered singlet dataset was normalized using the </w:t>
      </w:r>
      <w:proofErr w:type="spellStart"/>
      <w:r>
        <w:t>LogNormalize</w:t>
      </w:r>
      <w:proofErr w:type="spellEnd"/>
      <w:r>
        <w:t xml:space="preserve"> method with a scale factor of 10,000.</w:t>
      </w:r>
    </w:p>
    <w:p w14:paraId="06FB7B2E" w14:textId="77777777" w:rsidR="00FB1DE2" w:rsidRDefault="00FB1DE2">
      <w:pPr>
        <w:pStyle w:val="NormalWeb"/>
      </w:pPr>
      <w:r>
        <w:t>A total of 2,000 highly variable genes were identified using the variance-stabilizing transformation (VST) method. These genes were used for subsequent dimensionality reduction and clustering analyses.</w:t>
      </w:r>
    </w:p>
    <w:p w14:paraId="78B153B2" w14:textId="77777777" w:rsidR="00FB1DE2" w:rsidRDefault="00FB1DE2">
      <w:pPr>
        <w:pStyle w:val="Heading2"/>
        <w:rPr>
          <w:rFonts w:eastAsia="Times New Roman"/>
        </w:rPr>
      </w:pPr>
      <w:r>
        <w:rPr>
          <w:rFonts w:eastAsia="Times New Roman"/>
        </w:rPr>
        <w:t>4. Principal Component Analysis (PCA)</w:t>
      </w:r>
    </w:p>
    <w:p w14:paraId="45E4D883" w14:textId="77777777" w:rsidR="00FB1DE2" w:rsidRDefault="00FB1DE2">
      <w:pPr>
        <w:pStyle w:val="NormalWeb"/>
      </w:pPr>
      <w:r>
        <w:t>The normalized expression data were scaled, followed by principal component analysis (PCA) using the identified variable features.</w:t>
      </w:r>
    </w:p>
    <w:p w14:paraId="7752F560" w14:textId="77777777" w:rsidR="00FB1DE2" w:rsidRDefault="00FB1DE2">
      <w:pPr>
        <w:pStyle w:val="NormalWeb"/>
      </w:pPr>
      <w:r>
        <w:t>PCA was performed to reduce the dimensionality of the gene expression data and capture major sources of variation among cells.</w:t>
      </w:r>
    </w:p>
    <w:p w14:paraId="449C5145" w14:textId="77777777" w:rsidR="00FB1DE2" w:rsidRDefault="00FB1DE2">
      <w:pPr>
        <w:pStyle w:val="NormalWeb"/>
      </w:pPr>
      <w:r>
        <w:t>PCA loading plots, PCA cell projections, and an elbow plot were generated to evaluate the principal components and guide the selection of dimensions for downstream analysis.</w:t>
      </w:r>
    </w:p>
    <w:p w14:paraId="3BE6A566" w14:textId="77777777" w:rsidR="00FB1DE2" w:rsidRDefault="00FB1DE2">
      <w:pPr>
        <w:pStyle w:val="Heading2"/>
        <w:rPr>
          <w:rFonts w:eastAsia="Times New Roman"/>
        </w:rPr>
      </w:pPr>
      <w:r>
        <w:rPr>
          <w:rFonts w:eastAsia="Times New Roman"/>
        </w:rPr>
        <w:t>5. Harmony Integration</w:t>
      </w:r>
    </w:p>
    <w:p w14:paraId="1A641206" w14:textId="77777777" w:rsidR="00FB1DE2" w:rsidRDefault="00FB1DE2">
      <w:pPr>
        <w:pStyle w:val="NormalWeb"/>
      </w:pPr>
      <w:r>
        <w:t>Harmony integration was performed to reduce potential batch effects between the five samples.</w:t>
      </w:r>
    </w:p>
    <w:p w14:paraId="0C142D1A" w14:textId="77777777" w:rsidR="00FB1DE2" w:rsidRDefault="00FB1DE2">
      <w:pPr>
        <w:pStyle w:val="NormalWeb"/>
      </w:pPr>
      <w:r>
        <w:t>The first 30 principal components were used for Harmony integration, with sample identity (</w:t>
      </w:r>
      <w:proofErr w:type="spellStart"/>
      <w:proofErr w:type="gramStart"/>
      <w:r>
        <w:rPr>
          <w:rStyle w:val="HTMLCode"/>
        </w:rPr>
        <w:t>orig.ident</w:t>
      </w:r>
      <w:proofErr w:type="spellEnd"/>
      <w:proofErr w:type="gramEnd"/>
      <w:r>
        <w:t>) as the grouping variable.</w:t>
      </w:r>
    </w:p>
    <w:p w14:paraId="7D12E568" w14:textId="77777777" w:rsidR="00FB1DE2" w:rsidRDefault="00FB1DE2">
      <w:pPr>
        <w:pStyle w:val="NormalWeb"/>
      </w:pPr>
      <w:r>
        <w:t>The integrated Harmony embeddings were subsequently used for neighbor detection, clustering, and UMAP analysis.</w:t>
      </w:r>
    </w:p>
    <w:p w14:paraId="58F7B201" w14:textId="77777777" w:rsidR="00FB1DE2" w:rsidRDefault="00FB1DE2">
      <w:pPr>
        <w:pStyle w:val="Heading2"/>
        <w:rPr>
          <w:rFonts w:eastAsia="Times New Roman"/>
        </w:rPr>
      </w:pPr>
      <w:r>
        <w:rPr>
          <w:rFonts w:eastAsia="Times New Roman"/>
        </w:rPr>
        <w:t>6. Global Clustering and Dimensionality Reduction</w:t>
      </w:r>
    </w:p>
    <w:p w14:paraId="3174A782" w14:textId="77777777" w:rsidR="00FB1DE2" w:rsidRDefault="00FB1DE2">
      <w:pPr>
        <w:pStyle w:val="NormalWeb"/>
      </w:pPr>
      <w:r>
        <w:t>Cell neighborhoods were identified using the first 30 dimensions of the PCA and Harmony reductions.</w:t>
      </w:r>
    </w:p>
    <w:p w14:paraId="634AE337" w14:textId="77777777" w:rsidR="00FB1DE2" w:rsidRDefault="00FB1DE2">
      <w:pPr>
        <w:pStyle w:val="NormalWeb"/>
      </w:pPr>
      <w:r>
        <w:t>Clustering was performed using a resolution of 0.5.</w:t>
      </w:r>
    </w:p>
    <w:p w14:paraId="4AFBAFA3" w14:textId="77777777" w:rsidR="00FB1DE2" w:rsidRDefault="00FB1DE2">
      <w:pPr>
        <w:pStyle w:val="NormalWeb"/>
      </w:pPr>
      <w:r>
        <w:lastRenderedPageBreak/>
        <w:t>UMAP visualizations were generated before and after Harmony integration to examine the global cellular structure and assess the effect of batch correction.</w:t>
      </w:r>
    </w:p>
    <w:p w14:paraId="348DE751" w14:textId="77777777" w:rsidR="00FB1DE2" w:rsidRDefault="00FB1DE2">
      <w:pPr>
        <w:pStyle w:val="NormalWeb"/>
      </w:pPr>
      <w:r>
        <w:t>t-SNE analysis was also performed using the Harmony reduction to provide an additional visualization of cellular relationships.</w:t>
      </w:r>
    </w:p>
    <w:p w14:paraId="19778EF4" w14:textId="77777777" w:rsidR="00FB1DE2" w:rsidRDefault="00FB1DE2">
      <w:pPr>
        <w:pStyle w:val="Heading2"/>
        <w:rPr>
          <w:rFonts w:eastAsia="Times New Roman"/>
        </w:rPr>
      </w:pPr>
      <w:r>
        <w:rPr>
          <w:rFonts w:eastAsia="Times New Roman"/>
        </w:rPr>
        <w:t>7. Identification of Cluster Marker Genes</w:t>
      </w:r>
    </w:p>
    <w:p w14:paraId="1AB3F1F3" w14:textId="77777777" w:rsidR="00FB1DE2" w:rsidRDefault="00FB1DE2">
      <w:pPr>
        <w:pStyle w:val="NormalWeb"/>
      </w:pPr>
      <w:r>
        <w:t xml:space="preserve">Differential gene expression analysis was performed using Seurat's </w:t>
      </w:r>
      <w:proofErr w:type="spellStart"/>
      <w:r>
        <w:rPr>
          <w:rStyle w:val="HTMLCode"/>
        </w:rPr>
        <w:t>FindAllMarkers</w:t>
      </w:r>
      <w:proofErr w:type="spellEnd"/>
      <w:r>
        <w:t xml:space="preserve"> function to identify marker genes for each cluster.</w:t>
      </w:r>
    </w:p>
    <w:p w14:paraId="0455B074" w14:textId="77777777" w:rsidR="00FB1DE2" w:rsidRDefault="00FB1DE2">
      <w:pPr>
        <w:pStyle w:val="NormalWeb"/>
      </w:pPr>
      <w:r>
        <w:t>Only positively expressed marker genes were considered, using the following parameters:</w:t>
      </w:r>
    </w:p>
    <w:p w14:paraId="665EF5F4" w14:textId="77777777" w:rsidR="00FB1DE2" w:rsidRDefault="00FB1DE2" w:rsidP="00FB1DE2">
      <w:pPr>
        <w:numPr>
          <w:ilvl w:val="0"/>
          <w:numId w:val="3"/>
        </w:numPr>
        <w:spacing w:before="100" w:beforeAutospacing="1" w:after="100" w:afterAutospacing="1" w:line="240" w:lineRule="auto"/>
        <w:rPr>
          <w:rFonts w:eastAsia="Times New Roman"/>
        </w:rPr>
      </w:pPr>
      <w:r>
        <w:rPr>
          <w:rFonts w:eastAsia="Times New Roman"/>
        </w:rPr>
        <w:t>Minimum percentage of cells expressing the gene: 25%</w:t>
      </w:r>
    </w:p>
    <w:p w14:paraId="640E8B19" w14:textId="77777777" w:rsidR="00FB1DE2" w:rsidRDefault="00FB1DE2" w:rsidP="00FB1DE2">
      <w:pPr>
        <w:numPr>
          <w:ilvl w:val="0"/>
          <w:numId w:val="3"/>
        </w:numPr>
        <w:spacing w:before="100" w:beforeAutospacing="1" w:after="100" w:afterAutospacing="1" w:line="240" w:lineRule="auto"/>
        <w:rPr>
          <w:rFonts w:eastAsia="Times New Roman"/>
        </w:rPr>
      </w:pPr>
      <w:r>
        <w:rPr>
          <w:rFonts w:eastAsia="Times New Roman"/>
        </w:rPr>
        <w:t>Minimum log2 fold-change: 0.25</w:t>
      </w:r>
    </w:p>
    <w:p w14:paraId="1CFB28C8" w14:textId="77777777" w:rsidR="00FB1DE2" w:rsidRDefault="00FB1DE2">
      <w:pPr>
        <w:pStyle w:val="NormalWeb"/>
      </w:pPr>
      <w:r>
        <w:t>The five highest-ranked marker genes for each cluster were selected based on average log2 fold-change.</w:t>
      </w:r>
    </w:p>
    <w:p w14:paraId="6A584D4E" w14:textId="77777777" w:rsidR="00FB1DE2" w:rsidRDefault="00FB1DE2">
      <w:pPr>
        <w:pStyle w:val="NormalWeb"/>
      </w:pPr>
      <w:r>
        <w:t>These marker genes will be used to support the biological annotation of the identified cell populations.</w:t>
      </w:r>
    </w:p>
    <w:p w14:paraId="589AA292" w14:textId="77777777" w:rsidR="00FB1DE2" w:rsidRDefault="00FB1DE2">
      <w:pPr>
        <w:pStyle w:val="Heading2"/>
        <w:rPr>
          <w:rFonts w:eastAsia="Times New Roman"/>
        </w:rPr>
      </w:pPr>
      <w:r>
        <w:rPr>
          <w:rFonts w:eastAsia="Times New Roman"/>
        </w:rPr>
        <w:t xml:space="preserve">8. Myeloid Cell Identification and </w:t>
      </w:r>
      <w:proofErr w:type="spellStart"/>
      <w:r>
        <w:rPr>
          <w:rFonts w:eastAsia="Times New Roman"/>
        </w:rPr>
        <w:t>Subclustering</w:t>
      </w:r>
      <w:proofErr w:type="spellEnd"/>
    </w:p>
    <w:p w14:paraId="3F5B90D5" w14:textId="77777777" w:rsidR="00FB1DE2" w:rsidRDefault="00FB1DE2">
      <w:pPr>
        <w:pStyle w:val="NormalWeb"/>
      </w:pPr>
      <w:r>
        <w:t>A myeloid cell population was identified using the average expression of the following marker genes:</w:t>
      </w:r>
    </w:p>
    <w:p w14:paraId="36D01465"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TREM2</w:t>
      </w:r>
    </w:p>
    <w:p w14:paraId="67AB3870"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C1QB</w:t>
      </w:r>
    </w:p>
    <w:p w14:paraId="2EA1010C"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GPR34</w:t>
      </w:r>
    </w:p>
    <w:p w14:paraId="71B1F376"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FOLR2</w:t>
      </w:r>
    </w:p>
    <w:p w14:paraId="52D5E85B" w14:textId="77777777" w:rsidR="00FB1DE2" w:rsidRDefault="00FB1DE2" w:rsidP="00FB1DE2">
      <w:pPr>
        <w:numPr>
          <w:ilvl w:val="0"/>
          <w:numId w:val="4"/>
        </w:numPr>
        <w:spacing w:before="100" w:beforeAutospacing="1" w:after="100" w:afterAutospacing="1" w:line="240" w:lineRule="auto"/>
        <w:rPr>
          <w:rFonts w:eastAsia="Times New Roman"/>
        </w:rPr>
      </w:pPr>
      <w:r>
        <w:rPr>
          <w:rFonts w:eastAsia="Times New Roman"/>
        </w:rPr>
        <w:t>C1QC</w:t>
      </w:r>
    </w:p>
    <w:p w14:paraId="733FD9E0" w14:textId="77777777" w:rsidR="00FB1DE2" w:rsidRDefault="00FB1DE2">
      <w:pPr>
        <w:pStyle w:val="NormalWeb"/>
      </w:pPr>
      <w:r>
        <w:t>The cluster with the highest mean expression score across these markers was selected as the candidate myeloid cluster.</w:t>
      </w:r>
    </w:p>
    <w:p w14:paraId="73965903" w14:textId="77777777" w:rsidR="00FB1DE2" w:rsidRDefault="00FB1DE2">
      <w:pPr>
        <w:pStyle w:val="NormalWeb"/>
      </w:pPr>
      <w:r>
        <w:t>The selected myeloid population was isolated for further analysis.</w:t>
      </w:r>
    </w:p>
    <w:p w14:paraId="69E1C4D8" w14:textId="77777777" w:rsidR="00FB1DE2" w:rsidRDefault="00FB1DE2">
      <w:pPr>
        <w:pStyle w:val="NormalWeb"/>
      </w:pPr>
      <w:r>
        <w:t>The number of myeloid cells and their distribution across the five samples were examined.</w:t>
      </w:r>
    </w:p>
    <w:p w14:paraId="15497CF2" w14:textId="77777777" w:rsidR="00FB1DE2" w:rsidRDefault="00FB1DE2">
      <w:pPr>
        <w:pStyle w:val="Heading3"/>
        <w:rPr>
          <w:rFonts w:eastAsia="Times New Roman"/>
        </w:rPr>
      </w:pPr>
      <w:r>
        <w:rPr>
          <w:rFonts w:eastAsia="Times New Roman"/>
        </w:rPr>
        <w:t xml:space="preserve">Myeloid </w:t>
      </w:r>
      <w:proofErr w:type="spellStart"/>
      <w:r>
        <w:rPr>
          <w:rFonts w:eastAsia="Times New Roman"/>
        </w:rPr>
        <w:t>Subclustering</w:t>
      </w:r>
      <w:proofErr w:type="spellEnd"/>
    </w:p>
    <w:p w14:paraId="3F4B07A9" w14:textId="77777777" w:rsidR="00FB1DE2" w:rsidRDefault="00FB1DE2">
      <w:pPr>
        <w:pStyle w:val="NormalWeb"/>
      </w:pPr>
      <w:r>
        <w:t>The myeloid subset was reprocessed independently by:</w:t>
      </w:r>
    </w:p>
    <w:p w14:paraId="3C71BDA1"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lastRenderedPageBreak/>
        <w:t>Identification of variable features.</w:t>
      </w:r>
    </w:p>
    <w:p w14:paraId="72849E28"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Data scaling.</w:t>
      </w:r>
    </w:p>
    <w:p w14:paraId="64B4481C"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PCA.</w:t>
      </w:r>
    </w:p>
    <w:p w14:paraId="733F4371"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Harmony integration using the first 20 principal components.</w:t>
      </w:r>
    </w:p>
    <w:p w14:paraId="5D0B4E1E"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Neighbor detection and clustering.</w:t>
      </w:r>
    </w:p>
    <w:p w14:paraId="15C0CFB5" w14:textId="77777777" w:rsidR="00FB1DE2" w:rsidRDefault="00FB1DE2" w:rsidP="00FB1DE2">
      <w:pPr>
        <w:numPr>
          <w:ilvl w:val="0"/>
          <w:numId w:val="5"/>
        </w:numPr>
        <w:spacing w:before="100" w:beforeAutospacing="1" w:after="100" w:afterAutospacing="1" w:line="240" w:lineRule="auto"/>
        <w:rPr>
          <w:rFonts w:eastAsia="Times New Roman"/>
        </w:rPr>
      </w:pPr>
      <w:r>
        <w:rPr>
          <w:rFonts w:eastAsia="Times New Roman"/>
        </w:rPr>
        <w:t>UMAP visualization.</w:t>
      </w:r>
    </w:p>
    <w:p w14:paraId="20ED216E" w14:textId="77777777" w:rsidR="00FB1DE2" w:rsidRDefault="00FB1DE2">
      <w:pPr>
        <w:pStyle w:val="NormalWeb"/>
      </w:pPr>
      <w:r>
        <w:t>Myeloid subclusters were identified using a clustering resolution of 0.5.</w:t>
      </w:r>
    </w:p>
    <w:p w14:paraId="44284829" w14:textId="77777777" w:rsidR="00FB1DE2" w:rsidRDefault="00FB1DE2">
      <w:pPr>
        <w:pStyle w:val="Heading3"/>
        <w:rPr>
          <w:rFonts w:eastAsia="Times New Roman"/>
        </w:rPr>
      </w:pPr>
      <w:r>
        <w:rPr>
          <w:rFonts w:eastAsia="Times New Roman"/>
        </w:rPr>
        <w:t>Myeloid Subcluster Marker Genes</w:t>
      </w:r>
    </w:p>
    <w:p w14:paraId="58652682" w14:textId="77777777" w:rsidR="00FB1DE2" w:rsidRDefault="00FB1DE2">
      <w:pPr>
        <w:pStyle w:val="NormalWeb"/>
      </w:pPr>
      <w:r>
        <w:t>Marker genes for each myeloid subcluster were identified using the same differential expression criteria applied to the global dataset.</w:t>
      </w:r>
    </w:p>
    <w:p w14:paraId="3B832C5B" w14:textId="77777777" w:rsidR="00FB1DE2" w:rsidRDefault="00FB1DE2">
      <w:pPr>
        <w:pStyle w:val="NormalWeb"/>
      </w:pPr>
      <w:r>
        <w:t>The top five marker genes for each myeloid subcluster were selected based on average log2 fold-change.</w:t>
      </w:r>
    </w:p>
    <w:p w14:paraId="324984D0" w14:textId="77777777" w:rsidR="00FB1DE2" w:rsidRDefault="00FB1DE2">
      <w:pPr>
        <w:pStyle w:val="NormalWeb"/>
      </w:pPr>
      <w:r>
        <w:t>These results will support the identification of distinct myeloid cell states within the brain metastasis microenvironment.</w:t>
      </w:r>
    </w:p>
    <w:p w14:paraId="4978ECAA" w14:textId="77777777" w:rsidR="00FB1DE2" w:rsidRDefault="00FB1DE2">
      <w:pPr>
        <w:pStyle w:val="Heading2"/>
        <w:rPr>
          <w:rFonts w:eastAsia="Times New Roman"/>
        </w:rPr>
      </w:pPr>
      <w:r>
        <w:rPr>
          <w:rFonts w:eastAsia="Times New Roman"/>
        </w:rPr>
        <w:t>9. Summary</w:t>
      </w:r>
    </w:p>
    <w:p w14:paraId="3F1C0C13" w14:textId="77777777" w:rsidR="00FB1DE2" w:rsidRDefault="00FB1DE2">
      <w:pPr>
        <w:pStyle w:val="NormalWeb"/>
      </w:pPr>
      <w:r>
        <w:t xml:space="preserve">The analysis pipeline successfully covered data loading, sample-wise quality control, doublet detection, normalization, dimensionality reduction, Harmony integration, global clustering, and myeloid </w:t>
      </w:r>
      <w:proofErr w:type="spellStart"/>
      <w:r>
        <w:t>subclustering</w:t>
      </w:r>
      <w:proofErr w:type="spellEnd"/>
      <w:r>
        <w:t>.</w:t>
      </w:r>
    </w:p>
    <w:p w14:paraId="32081855" w14:textId="77777777" w:rsidR="00FB1DE2" w:rsidRDefault="00FB1DE2">
      <w:pPr>
        <w:pStyle w:val="NormalWeb"/>
      </w:pPr>
      <w:r>
        <w:t>The resulting cell clusters and marker gene profiles provide a foundation for investigating the cellular ecosystem and immune landscape of brain metastases, with particular emphasis on myeloid cell populations.</w:t>
      </w:r>
    </w:p>
    <w:p w14:paraId="0D614FE6" w14:textId="77777777" w:rsidR="00FB1DE2" w:rsidRDefault="00FB1DE2"/>
    <w:sectPr w:rsidR="00FB1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7E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3A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03E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00DF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E7C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96994">
    <w:abstractNumId w:val="1"/>
  </w:num>
  <w:num w:numId="2" w16cid:durableId="1506895344">
    <w:abstractNumId w:val="2"/>
  </w:num>
  <w:num w:numId="3" w16cid:durableId="1174032051">
    <w:abstractNumId w:val="0"/>
  </w:num>
  <w:num w:numId="4" w16cid:durableId="1517420783">
    <w:abstractNumId w:val="4"/>
  </w:num>
  <w:num w:numId="5" w16cid:durableId="283075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E2"/>
    <w:rsid w:val="002B56FA"/>
    <w:rsid w:val="002C0377"/>
    <w:rsid w:val="004529EF"/>
    <w:rsid w:val="005F2283"/>
    <w:rsid w:val="006D5001"/>
    <w:rsid w:val="00771830"/>
    <w:rsid w:val="007C6B54"/>
    <w:rsid w:val="009C3880"/>
    <w:rsid w:val="00AA1740"/>
    <w:rsid w:val="00AC3CAE"/>
    <w:rsid w:val="00B235B1"/>
    <w:rsid w:val="00D430A9"/>
    <w:rsid w:val="00FB1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2795"/>
  <w15:chartTrackingRefBased/>
  <w15:docId w15:val="{1A056305-B150-E248-AB40-040CB9CF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1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E2"/>
    <w:rPr>
      <w:rFonts w:eastAsiaTheme="majorEastAsia" w:cstheme="majorBidi"/>
      <w:color w:val="272727" w:themeColor="text1" w:themeTint="D8"/>
    </w:rPr>
  </w:style>
  <w:style w:type="paragraph" w:styleId="Title">
    <w:name w:val="Title"/>
    <w:basedOn w:val="Normal"/>
    <w:next w:val="Normal"/>
    <w:link w:val="TitleChar"/>
    <w:uiPriority w:val="10"/>
    <w:qFormat/>
    <w:rsid w:val="00FB1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E2"/>
    <w:pPr>
      <w:spacing w:before="160"/>
      <w:jc w:val="center"/>
    </w:pPr>
    <w:rPr>
      <w:i/>
      <w:iCs/>
      <w:color w:val="404040" w:themeColor="text1" w:themeTint="BF"/>
    </w:rPr>
  </w:style>
  <w:style w:type="character" w:customStyle="1" w:styleId="QuoteChar">
    <w:name w:val="Quote Char"/>
    <w:basedOn w:val="DefaultParagraphFont"/>
    <w:link w:val="Quote"/>
    <w:uiPriority w:val="29"/>
    <w:rsid w:val="00FB1DE2"/>
    <w:rPr>
      <w:i/>
      <w:iCs/>
      <w:color w:val="404040" w:themeColor="text1" w:themeTint="BF"/>
    </w:rPr>
  </w:style>
  <w:style w:type="paragraph" w:styleId="ListParagraph">
    <w:name w:val="List Paragraph"/>
    <w:basedOn w:val="Normal"/>
    <w:uiPriority w:val="34"/>
    <w:qFormat/>
    <w:rsid w:val="00FB1DE2"/>
    <w:pPr>
      <w:ind w:left="720"/>
      <w:contextualSpacing/>
    </w:pPr>
  </w:style>
  <w:style w:type="character" w:styleId="IntenseEmphasis">
    <w:name w:val="Intense Emphasis"/>
    <w:basedOn w:val="DefaultParagraphFont"/>
    <w:uiPriority w:val="21"/>
    <w:qFormat/>
    <w:rsid w:val="00FB1DE2"/>
    <w:rPr>
      <w:i/>
      <w:iCs/>
      <w:color w:val="0F4761" w:themeColor="accent1" w:themeShade="BF"/>
    </w:rPr>
  </w:style>
  <w:style w:type="paragraph" w:styleId="IntenseQuote">
    <w:name w:val="Intense Quote"/>
    <w:basedOn w:val="Normal"/>
    <w:next w:val="Normal"/>
    <w:link w:val="IntenseQuoteChar"/>
    <w:uiPriority w:val="30"/>
    <w:qFormat/>
    <w:rsid w:val="00FB1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E2"/>
    <w:rPr>
      <w:i/>
      <w:iCs/>
      <w:color w:val="0F4761" w:themeColor="accent1" w:themeShade="BF"/>
    </w:rPr>
  </w:style>
  <w:style w:type="character" w:styleId="IntenseReference">
    <w:name w:val="Intense Reference"/>
    <w:basedOn w:val="DefaultParagraphFont"/>
    <w:uiPriority w:val="32"/>
    <w:qFormat/>
    <w:rsid w:val="00FB1DE2"/>
    <w:rPr>
      <w:b/>
      <w:bCs/>
      <w:smallCaps/>
      <w:color w:val="0F4761" w:themeColor="accent1" w:themeShade="BF"/>
      <w:spacing w:val="5"/>
    </w:rPr>
  </w:style>
  <w:style w:type="paragraph" w:styleId="NormalWeb">
    <w:name w:val="Normal (Web)"/>
    <w:basedOn w:val="Normal"/>
    <w:uiPriority w:val="99"/>
    <w:semiHidden/>
    <w:unhideWhenUsed/>
    <w:rsid w:val="00FB1DE2"/>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FB1DE2"/>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فايزه خالد عبدالعزبز النعماني</dc:creator>
  <cp:keywords/>
  <dc:description/>
  <cp:lastModifiedBy>Jasmine Mohamed</cp:lastModifiedBy>
  <cp:revision>2</cp:revision>
  <dcterms:created xsi:type="dcterms:W3CDTF">2026-09-29T19:04:00Z</dcterms:created>
  <dcterms:modified xsi:type="dcterms:W3CDTF">2026-09-29T19:04:00Z</dcterms:modified>
</cp:coreProperties>
</file>