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Mobile Feature Delivery Governance Pipeline</w:t>
      </w:r>
    </w:p>
    <w:p>
      <w:pPr>
        <w:jc w:val="center"/>
      </w:pPr>
      <w:r>
        <w:rPr>
          <w:i/>
          <w:color w:val="505050"/>
          <w:sz w:val="24"/>
        </w:rPr>
        <w:t>Reusable lifecycle for native Android and native iOS projects</w:t>
      </w:r>
    </w:p>
    <w:p>
      <w:pPr>
        <w:jc w:val="center"/>
      </w:pPr>
      <w:r>
        <w:t>Version 1.2  |  Repository-owned, specification-first, evidence-gated</w:t>
      </w:r>
    </w:p>
    <w:tbl>
      <w:tblPr>
        <w:tblStyle w:val="TableGrid"/>
        <w:tblW w:type="auto" w:w="0"/>
        <w:jc w:val="center"/>
        <w:tblLook w:firstColumn="1" w:firstRow="1" w:lastColumn="0" w:lastRow="0" w:noHBand="0" w:noVBand="1" w:val="04A0"/>
      </w:tblPr>
      <w:tblGrid>
        <w:gridCol w:w="10166"/>
      </w:tblGrid>
      <w:tr>
        <w:tc>
          <w:tcPr>
            <w:tcW w:type="dxa" w:w="10166"/>
            <w:shd w:fill="D9EAF7"/>
            <w:vAlign w:val="center"/>
          </w:tcPr>
          <w:p>
            <w:r/>
            <w:r>
              <w:rPr>
                <w:b/>
                <w:color w:val="1F4E79"/>
                <w:sz w:val="20"/>
              </w:rPr>
              <w:t>Core rule: no agent may move from product intent to implementation, feature acceptance, or release without the required approved authority, synchronized architecture, bounded tasks, passed gates, and named evidence.</w:t>
            </w:r>
          </w:p>
        </w:tc>
      </w:tr>
    </w:tbl>
    <w:p>
      <w:r>
        <w:br w:type="page"/>
      </w:r>
    </w:p>
    <w:p>
      <w:pPr>
        <w:pStyle w:val="Heading1"/>
      </w:pPr>
      <w:r>
        <w:t>Document Map</w:t>
      </w:r>
    </w:p>
    <w:p>
      <w:pPr>
        <w:pStyle w:val="ListNumber"/>
      </w:pPr>
      <w:r>
        <w:t>1. Purpose and operating principles</w:t>
      </w:r>
    </w:p>
    <w:p>
      <w:pPr>
        <w:pStyle w:val="ListNumber"/>
      </w:pPr>
      <w:r>
        <w:t>2. Authority and status model</w:t>
      </w:r>
    </w:p>
    <w:p>
      <w:pPr>
        <w:pStyle w:val="ListNumber"/>
      </w:pPr>
      <w:r>
        <w:t>3. Canonical artifact set</w:t>
      </w:r>
    </w:p>
    <w:p>
      <w:pPr>
        <w:pStyle w:val="ListNumber"/>
      </w:pPr>
      <w:r>
        <w:t>4. End-to-end pipeline</w:t>
      </w:r>
    </w:p>
    <w:p>
      <w:pPr>
        <w:pStyle w:val="ListNumber"/>
      </w:pPr>
      <w:r>
        <w:t>5. Stage-by-stage gates and outputs</w:t>
      </w:r>
    </w:p>
    <w:p>
      <w:pPr>
        <w:pStyle w:val="ListNumber"/>
      </w:pPr>
      <w:r>
        <w:t>6. Cross-cutting quality controls</w:t>
      </w:r>
    </w:p>
    <w:p>
      <w:pPr>
        <w:pStyle w:val="ListNumber"/>
      </w:pPr>
      <w:r>
        <w:t>7. Android and iOS platform overlays</w:t>
      </w:r>
    </w:p>
    <w:p>
      <w:pPr>
        <w:pStyle w:val="ListNumber"/>
      </w:pPr>
      <w:r>
        <w:t>8. Evidence and completion rules</w:t>
      </w:r>
    </w:p>
    <w:p>
      <w:pPr>
        <w:pStyle w:val="ListNumber"/>
      </w:pPr>
      <w:r>
        <w:t>9. Change control and drift prevention</w:t>
      </w:r>
    </w:p>
    <w:p>
      <w:pPr>
        <w:pStyle w:val="ListNumber"/>
      </w:pPr>
      <w:r>
        <w:t>10. Recommended repository layout</w:t>
      </w:r>
    </w:p>
    <w:p>
      <w:pPr>
        <w:pStyle w:val="ListNumber"/>
      </w:pPr>
      <w:r>
        <w:t>11. Reusable checklists and verdicts</w:t>
      </w:r>
    </w:p>
    <w:p>
      <w:pPr>
        <w:pStyle w:val="Callout"/>
      </w:pPr>
      <w:r>
        <w:t>This document defines the reusable pipeline. Project-specific AGENTS.md, architecture spines, ADRs, design authority, feature inputs, contracts, plans, tasks, readiness reports, and release records remain the canonical authority for each repository.</w:t>
      </w:r>
    </w:p>
    <w:p>
      <w:pPr>
        <w:pStyle w:val="Heading1"/>
      </w:pPr>
      <w:r>
        <w:t>1. Purpose and Operating Principles</w:t>
      </w:r>
    </w:p>
    <w:p>
      <w:r>
        <w:t>This pipeline is intended for greenfield or governed native mobile repositories that need to prevent implementation drift from product rules, architecture decisions, design authority, accessibility, localization, privacy, persistence, and evidence requirements.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8"/>
          </w:tcPr>
          <w:p>
            <w:r/>
            <w:r>
              <w:rPr>
                <w:b/>
                <w:color w:val="FFFFFF"/>
                <w:sz w:val="16"/>
              </w:rPr>
              <w:t>Principle</w:t>
            </w:r>
          </w:p>
        </w:tc>
        <w:tc>
          <w:tcPr>
            <w:tcW w:type="dxa" w:w="8064"/>
            <w:vAlign w:val="center"/>
            <w:shd w:fill="1F4E78"/>
          </w:tcPr>
          <w:p>
            <w:r/>
            <w:r>
              <w:rPr>
                <w:b/>
                <w:color w:val="FFFFFF"/>
                <w:sz w:val="16"/>
              </w:rPr>
              <w:t>Required behavior</w:t>
            </w:r>
          </w:p>
        </w:tc>
      </w:tr>
      <w:tr>
        <w:tc>
          <w:tcPr>
            <w:tcW w:type="dxa" w:w="2448"/>
            <w:vAlign w:val="center"/>
          </w:tcPr>
          <w:p>
            <w:r/>
            <w:r>
              <w:rPr>
                <w:b w:val="0"/>
                <w:sz w:val="16"/>
              </w:rPr>
              <w:t>Repository-owned governance</w:t>
            </w:r>
          </w:p>
        </w:tc>
        <w:tc>
          <w:tcPr>
            <w:tcW w:type="dxa" w:w="8064"/>
            <w:vAlign w:val="center"/>
          </w:tcPr>
          <w:p>
            <w:r/>
            <w:r>
              <w:rPr>
                <w:b w:val="0"/>
                <w:sz w:val="16"/>
              </w:rPr>
              <w:t>The repository, not an external workflow framework, owns authority, templates, approvals, status, and evidence.</w:t>
            </w:r>
          </w:p>
        </w:tc>
      </w:tr>
      <w:tr>
        <w:tc>
          <w:tcPr>
            <w:tcW w:type="dxa" w:w="2448"/>
            <w:vAlign w:val="center"/>
          </w:tcPr>
          <w:p>
            <w:r/>
            <w:r>
              <w:rPr>
                <w:b w:val="0"/>
                <w:sz w:val="16"/>
              </w:rPr>
              <w:t>Behavior before mechanism</w:t>
            </w:r>
          </w:p>
        </w:tc>
        <w:tc>
          <w:tcPr>
            <w:tcW w:type="dxa" w:w="8064"/>
            <w:vAlign w:val="center"/>
          </w:tcPr>
          <w:p>
            <w:r>
              <w:t>Feature contracts define observable behavior. Plans apply accepted architecture. Tasks decompose approved plans. Bounded implementation executes only explicitly authorized task groups and does not invent product rules.</w:t>
            </w:r>
          </w:p>
        </w:tc>
      </w:tr>
      <w:tr>
        <w:tc>
          <w:tcPr>
            <w:tcW w:type="dxa" w:w="2448"/>
            <w:vAlign w:val="center"/>
          </w:tcPr>
          <w:p>
            <w:r/>
            <w:r>
              <w:rPr>
                <w:b w:val="0"/>
                <w:sz w:val="16"/>
              </w:rPr>
              <w:t>Independent review</w:t>
            </w:r>
          </w:p>
        </w:tc>
        <w:tc>
          <w:tcPr>
            <w:tcW w:type="dxa" w:w="8064"/>
            <w:vAlign w:val="center"/>
          </w:tcPr>
          <w:p>
            <w:r/>
            <w:r>
              <w:rPr>
                <w:b w:val="0"/>
                <w:sz w:val="16"/>
              </w:rPr>
              <w:t>Contracts, plans, tasks, and completed implementations are independently reviewed before owner approval.</w:t>
            </w:r>
          </w:p>
        </w:tc>
      </w:tr>
      <w:tr>
        <w:tc>
          <w:tcPr>
            <w:tcW w:type="dxa" w:w="2448"/>
            <w:vAlign w:val="center"/>
          </w:tcPr>
          <w:p>
            <w:r/>
            <w:r>
              <w:rPr>
                <w:b w:val="0"/>
                <w:sz w:val="16"/>
              </w:rPr>
              <w:t>External authorization</w:t>
            </w:r>
          </w:p>
        </w:tc>
        <w:tc>
          <w:tcPr>
            <w:tcW w:type="dxa" w:w="8064"/>
            <w:vAlign w:val="center"/>
          </w:tcPr>
          <w:p>
            <w:r/>
            <w:r>
              <w:rPr>
                <w:b w:val="0"/>
                <w:sz w:val="16"/>
              </w:rPr>
              <w:t>Agents may prepare artifacts and reviews but do not self-approve product behavior, implementation, feature acceptance, signing, distribution, or release.</w:t>
            </w:r>
          </w:p>
        </w:tc>
      </w:tr>
      <w:tr>
        <w:tc>
          <w:tcPr>
            <w:tcW w:type="dxa" w:w="2448"/>
            <w:vAlign w:val="center"/>
          </w:tcPr>
          <w:p>
            <w:r/>
            <w:r>
              <w:rPr>
                <w:b w:val="0"/>
                <w:sz w:val="16"/>
              </w:rPr>
              <w:t>Evidence-based completion</w:t>
            </w:r>
          </w:p>
        </w:tc>
        <w:tc>
          <w:tcPr>
            <w:tcW w:type="dxa" w:w="8064"/>
            <w:vAlign w:val="center"/>
          </w:tcPr>
          <w:p>
            <w:r/>
            <w:r>
              <w:rPr>
                <w:b w:val="0"/>
                <w:sz w:val="16"/>
              </w:rPr>
              <w:t>Build success, previews, snapshots, or source existence never prove runtime-only behavior.</w:t>
            </w:r>
          </w:p>
        </w:tc>
      </w:tr>
      <w:tr>
        <w:tc>
          <w:tcPr>
            <w:tcW w:type="dxa" w:w="2448"/>
            <w:vAlign w:val="center"/>
          </w:tcPr>
          <w:p>
            <w:r/>
            <w:r>
              <w:rPr>
                <w:b w:val="0"/>
                <w:sz w:val="16"/>
              </w:rPr>
              <w:t>Cross-cutting requirements are first-class</w:t>
            </w:r>
          </w:p>
        </w:tc>
        <w:tc>
          <w:tcPr>
            <w:tcW w:type="dxa" w:w="8064"/>
            <w:vAlign w:val="center"/>
          </w:tcPr>
          <w:p>
            <w:r/>
            <w:r>
              <w:rPr>
                <w:b w:val="0"/>
                <w:sz w:val="16"/>
              </w:rPr>
              <w:t>Localization, RTL, accessibility, adaptive UI, lifecycle, persistence integrity, privacy, and production composition are included from the first relevant stage.</w:t>
            </w:r>
          </w:p>
        </w:tc>
      </w:tr>
      <w:tr>
        <w:tc>
          <w:tcPr>
            <w:tcW w:type="dxa" w:w="2448"/>
            <w:vAlign w:val="center"/>
          </w:tcPr>
          <w:p>
            <w:r/>
            <w:r>
              <w:rPr>
                <w:b w:val="0"/>
                <w:sz w:val="16"/>
              </w:rPr>
              <w:t>Fail closed</w:t>
            </w:r>
          </w:p>
        </w:tc>
        <w:tc>
          <w:tcPr>
            <w:tcW w:type="dxa" w:w="8064"/>
            <w:vAlign w:val="center"/>
          </w:tcPr>
          <w:p>
            <w:r/>
            <w:r>
              <w:rPr>
                <w:b w:val="0"/>
                <w:sz w:val="16"/>
              </w:rPr>
              <w:t>Missing authority, protected configuration, evidence, or required decisions blocks the affected slice; the agent does not guess.</w:t>
            </w:r>
          </w:p>
        </w:tc>
      </w:tr>
    </w:tbl>
    <w:p/>
    <w:p>
      <w:pPr>
        <w:pStyle w:val="Heading1"/>
      </w:pPr>
      <w:r>
        <w:t>2. Authority and Status Model</w:t>
      </w:r>
    </w:p>
    <w:p>
      <w:r>
        <w:t>Each project must declare its exact authority order. A reusable default is shown below; a repository may refine it only through explicit owner direction.</w:t>
      </w:r>
    </w:p>
    <w:p>
      <w:pPr>
        <w:pStyle w:val="ListNumber"/>
      </w:pPr>
      <w:r>
        <w:t>Current explicit owner direction for the task</w:t>
      </w:r>
    </w:p>
    <w:p>
      <w:pPr>
        <w:pStyle w:val="ListNumber"/>
      </w:pPr>
      <w:r>
        <w:t>Root repository policy and protected-boundary rules</w:t>
      </w:r>
    </w:p>
    <w:p>
      <w:pPr>
        <w:pStyle w:val="ListNumber"/>
      </w:pPr>
      <w:r>
        <w:t>Approved owner decisions</w:t>
      </w:r>
    </w:p>
    <w:p>
      <w:pPr>
        <w:pStyle w:val="ListNumber"/>
      </w:pPr>
      <w:r>
        <w:t>Approved product authority and owner-approved feature contract</w:t>
      </w:r>
    </w:p>
    <w:p>
      <w:pPr>
        <w:pStyle w:val="ListNumber"/>
      </w:pPr>
      <w:r>
        <w:t>Accepted architecture spine, ADRs, and approved design authority</w:t>
      </w:r>
    </w:p>
    <w:p>
      <w:pPr>
        <w:pStyle w:val="ListNumber"/>
      </w:pPr>
      <w:r>
        <w:t>Verified implementation with matching test/runtime/release evidence</w:t>
      </w:r>
    </w:p>
    <w:p>
      <w:pPr>
        <w:pStyle w:val="ListNumber"/>
      </w:pPr>
      <w:r>
        <w:t>Context router and active playbook</w:t>
      </w:r>
    </w:p>
    <w:p>
      <w:pPr>
        <w:pStyle w:val="ListNumber"/>
      </w:pPr>
      <w:r>
        <w:t>Skills, templates, imported guidance, and model suggestions</w:t>
      </w:r>
    </w:p>
    <w:p>
      <w:pPr>
        <w:pStyle w:val="Callout"/>
      </w:pPr>
      <w:r>
        <w:t>A skill explains how to work; it does not authorize work. Missing, stale, contradictory, or unverified information is marked Needs verification and blocks any slice that would encode an arbitrary choice.</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8"/>
          </w:tcPr>
          <w:p>
            <w:r/>
            <w:r>
              <w:rPr>
                <w:b/>
                <w:color w:val="FFFFFF"/>
                <w:sz w:val="16"/>
              </w:rPr>
              <w:t>Status</w:t>
            </w:r>
          </w:p>
        </w:tc>
        <w:tc>
          <w:tcPr>
            <w:tcW w:type="dxa" w:w="8064"/>
            <w:vAlign w:val="center"/>
            <w:shd w:fill="1F4E78"/>
          </w:tcPr>
          <w:p>
            <w:r/>
            <w:r>
              <w:rPr>
                <w:b/>
                <w:color w:val="FFFFFF"/>
                <w:sz w:val="16"/>
              </w:rPr>
              <w:t>Meaning</w:t>
            </w:r>
          </w:p>
        </w:tc>
      </w:tr>
      <w:tr>
        <w:tc>
          <w:tcPr>
            <w:tcW w:type="dxa" w:w="2448"/>
            <w:vAlign w:val="center"/>
          </w:tcPr>
          <w:p>
            <w:r/>
            <w:r>
              <w:rPr>
                <w:b w:val="0"/>
                <w:sz w:val="16"/>
              </w:rPr>
              <w:t>DRAFT</w:t>
            </w:r>
          </w:p>
        </w:tc>
        <w:tc>
          <w:tcPr>
            <w:tcW w:type="dxa" w:w="8064"/>
            <w:vAlign w:val="center"/>
          </w:tcPr>
          <w:p>
            <w:r/>
            <w:r>
              <w:rPr>
                <w:b w:val="0"/>
                <w:sz w:val="16"/>
              </w:rPr>
              <w:t>Artifact is being authored and has no approval authority.</w:t>
            </w:r>
          </w:p>
        </w:tc>
      </w:tr>
      <w:tr>
        <w:tc>
          <w:tcPr>
            <w:tcW w:type="dxa" w:w="2448"/>
            <w:vAlign w:val="center"/>
          </w:tcPr>
          <w:p>
            <w:r/>
            <w:r>
              <w:rPr>
                <w:b w:val="0"/>
                <w:sz w:val="16"/>
              </w:rPr>
              <w:t>PASS</w:t>
            </w:r>
          </w:p>
        </w:tc>
        <w:tc>
          <w:tcPr>
            <w:tcW w:type="dxa" w:w="8064"/>
            <w:vAlign w:val="center"/>
          </w:tcPr>
          <w:p>
            <w:r/>
            <w:r>
              <w:rPr>
                <w:b w:val="0"/>
                <w:sz w:val="16"/>
              </w:rPr>
              <w:t>Independent review passed for the next owner decision only.</w:t>
            </w:r>
          </w:p>
        </w:tc>
      </w:tr>
      <w:tr>
        <w:tc>
          <w:tcPr>
            <w:tcW w:type="dxa" w:w="2448"/>
            <w:vAlign w:val="center"/>
          </w:tcPr>
          <w:p>
            <w:r/>
            <w:r>
              <w:rPr>
                <w:b w:val="0"/>
                <w:sz w:val="16"/>
              </w:rPr>
              <w:t>FAIL</w:t>
            </w:r>
          </w:p>
        </w:tc>
        <w:tc>
          <w:tcPr>
            <w:tcW w:type="dxa" w:w="8064"/>
            <w:vAlign w:val="center"/>
          </w:tcPr>
          <w:p>
            <w:r/>
            <w:r>
              <w:rPr>
                <w:b w:val="0"/>
                <w:sz w:val="16"/>
              </w:rPr>
              <w:t>Artifact or implementation contains defects that must be corrected.</w:t>
            </w:r>
          </w:p>
        </w:tc>
      </w:tr>
      <w:tr>
        <w:tc>
          <w:tcPr>
            <w:tcW w:type="dxa" w:w="2448"/>
            <w:vAlign w:val="center"/>
          </w:tcPr>
          <w:p>
            <w:r/>
            <w:r>
              <w:rPr>
                <w:b w:val="0"/>
                <w:sz w:val="16"/>
              </w:rPr>
              <w:t>BLOCKED</w:t>
            </w:r>
          </w:p>
        </w:tc>
        <w:tc>
          <w:tcPr>
            <w:tcW w:type="dxa" w:w="8064"/>
            <w:vAlign w:val="center"/>
          </w:tcPr>
          <w:p>
            <w:r/>
            <w:r>
              <w:rPr>
                <w:b w:val="0"/>
                <w:sz w:val="16"/>
              </w:rPr>
              <w:t>Required authority, prerequisite, or protected decision is absent or contradictory.</w:t>
            </w:r>
          </w:p>
        </w:tc>
      </w:tr>
      <w:tr>
        <w:tc>
          <w:tcPr>
            <w:tcW w:type="dxa" w:w="2448"/>
            <w:vAlign w:val="center"/>
          </w:tcPr>
          <w:p>
            <w:r/>
            <w:r>
              <w:rPr>
                <w:b w:val="0"/>
                <w:sz w:val="16"/>
              </w:rPr>
              <w:t>NEEDS OWNER DECISION</w:t>
            </w:r>
          </w:p>
        </w:tc>
        <w:tc>
          <w:tcPr>
            <w:tcW w:type="dxa" w:w="8064"/>
            <w:vAlign w:val="center"/>
          </w:tcPr>
          <w:p>
            <w:r/>
            <w:r>
              <w:rPr>
                <w:b w:val="0"/>
                <w:sz w:val="16"/>
              </w:rPr>
              <w:t>Observable product, design, architecture, protected-boundary, acceptance, or release decision is unresolved.</w:t>
            </w:r>
          </w:p>
        </w:tc>
      </w:tr>
      <w:tr>
        <w:tc>
          <w:tcPr>
            <w:tcW w:type="dxa" w:w="2448"/>
            <w:vAlign w:val="center"/>
          </w:tcPr>
          <w:p>
            <w:r/>
            <w:r>
              <w:rPr>
                <w:b w:val="0"/>
                <w:sz w:val="16"/>
              </w:rPr>
              <w:t>NEEDS VERIFICATION</w:t>
            </w:r>
          </w:p>
        </w:tc>
        <w:tc>
          <w:tcPr>
            <w:tcW w:type="dxa" w:w="8064"/>
            <w:vAlign w:val="center"/>
          </w:tcPr>
          <w:p>
            <w:r/>
            <w:r>
              <w:rPr>
                <w:b w:val="0"/>
                <w:sz w:val="16"/>
              </w:rPr>
              <w:t>A factual, technical, runtime, external-service, device, archive, or evidence claim is unproven.</w:t>
            </w:r>
          </w:p>
        </w:tc>
      </w:tr>
      <w:tr>
        <w:tc>
          <w:tcPr>
            <w:tcW w:type="dxa" w:w="2448"/>
            <w:vAlign w:val="center"/>
          </w:tcPr>
          <w:p>
            <w:r/>
            <w:r>
              <w:rPr>
                <w:b w:val="0"/>
                <w:sz w:val="16"/>
              </w:rPr>
              <w:t>APPROVED</w:t>
            </w:r>
          </w:p>
        </w:tc>
        <w:tc>
          <w:tcPr>
            <w:tcW w:type="dxa" w:w="8064"/>
            <w:vAlign w:val="center"/>
          </w:tcPr>
          <w:p>
            <w:r/>
            <w:r>
              <w:rPr>
                <w:b w:val="0"/>
                <w:sz w:val="16"/>
              </w:rPr>
              <w:t>Repository owner approved the artifact within its stated scope.</w:t>
            </w:r>
          </w:p>
        </w:tc>
      </w:tr>
      <w:tr>
        <w:tc>
          <w:tcPr>
            <w:tcW w:type="dxa" w:w="2448"/>
            <w:vAlign w:val="center"/>
          </w:tcPr>
          <w:p>
            <w:r/>
            <w:r>
              <w:rPr>
                <w:b w:val="0"/>
                <w:sz w:val="16"/>
              </w:rPr>
              <w:t>AUTHORIZED</w:t>
            </w:r>
          </w:p>
        </w:tc>
        <w:tc>
          <w:tcPr>
            <w:tcW w:type="dxa" w:w="8064"/>
            <w:vAlign w:val="center"/>
          </w:tcPr>
          <w:p>
            <w:r/>
            <w:r>
              <w:rPr>
                <w:b w:val="0"/>
                <w:sz w:val="16"/>
              </w:rPr>
              <w:t>Repository owner separately authorized the next protected activity.</w:t>
            </w:r>
          </w:p>
        </w:tc>
      </w:tr>
      <w:tr>
        <w:tc>
          <w:tcPr>
            <w:tcW w:type="dxa" w:w="2448"/>
            <w:vAlign w:val="center"/>
          </w:tcPr>
          <w:p>
            <w:r/>
            <w:r>
              <w:rPr>
                <w:b w:val="0"/>
                <w:sz w:val="16"/>
              </w:rPr>
              <w:t>SUPERSEDED</w:t>
            </w:r>
          </w:p>
        </w:tc>
        <w:tc>
          <w:tcPr>
            <w:tcW w:type="dxa" w:w="8064"/>
            <w:vAlign w:val="center"/>
          </w:tcPr>
          <w:p>
            <w:r/>
            <w:r>
              <w:rPr>
                <w:b w:val="0"/>
                <w:sz w:val="16"/>
              </w:rPr>
              <w:t>Historical only; must not be used as current authority.</w:t>
            </w:r>
          </w:p>
        </w:tc>
      </w:tr>
    </w:tbl>
    <w:p/>
    <w:p>
      <w:pPr>
        <w:pStyle w:val="Heading1"/>
      </w:pPr>
      <w:r>
        <w:t>3. Canonical Artifact Set</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F4E78"/>
          </w:tcPr>
          <w:p>
            <w:r/>
            <w:r>
              <w:rPr>
                <w:b/>
                <w:color w:val="FFFFFF"/>
                <w:sz w:val="16"/>
              </w:rPr>
              <w:t>Artifact</w:t>
            </w:r>
          </w:p>
        </w:tc>
        <w:tc>
          <w:tcPr>
            <w:tcW w:type="dxa" w:w="3600"/>
            <w:vAlign w:val="center"/>
            <w:shd w:fill="1F4E78"/>
          </w:tcPr>
          <w:p>
            <w:r/>
            <w:r>
              <w:rPr>
                <w:b/>
                <w:color w:val="FFFFFF"/>
                <w:sz w:val="16"/>
              </w:rPr>
              <w:t>Canonical path</w:t>
            </w:r>
          </w:p>
        </w:tc>
        <w:tc>
          <w:tcPr>
            <w:tcW w:type="dxa" w:w="4968"/>
            <w:vAlign w:val="center"/>
            <w:shd w:fill="1F4E78"/>
          </w:tcPr>
          <w:p>
            <w:r/>
            <w:r>
              <w:rPr>
                <w:b/>
                <w:color w:val="FFFFFF"/>
                <w:sz w:val="16"/>
              </w:rPr>
              <w:t>Purpose</w:t>
            </w:r>
          </w:p>
        </w:tc>
      </w:tr>
      <w:tr>
        <w:tc>
          <w:tcPr>
            <w:tcW w:type="dxa" w:w="1944"/>
            <w:vAlign w:val="center"/>
          </w:tcPr>
          <w:p>
            <w:r/>
            <w:r>
              <w:rPr>
                <w:b w:val="0"/>
                <w:sz w:val="16"/>
              </w:rPr>
              <w:t>Repository policy</w:t>
            </w:r>
          </w:p>
        </w:tc>
        <w:tc>
          <w:tcPr>
            <w:tcW w:type="dxa" w:w="3600"/>
            <w:vAlign w:val="center"/>
          </w:tcPr>
          <w:p>
            <w:r/>
            <w:r>
              <w:rPr>
                <w:b w:val="0"/>
                <w:sz w:val="16"/>
              </w:rPr>
              <w:t>AGENTS.md</w:t>
            </w:r>
          </w:p>
        </w:tc>
        <w:tc>
          <w:tcPr>
            <w:tcW w:type="dxa" w:w="4968"/>
            <w:vAlign w:val="center"/>
          </w:tcPr>
          <w:p>
            <w:r/>
            <w:r>
              <w:rPr>
                <w:b w:val="0"/>
                <w:sz w:val="16"/>
              </w:rPr>
              <w:t>Operational policy, stable principles or constitution-equivalent, authority, protected boundaries, completion rules</w:t>
            </w:r>
          </w:p>
        </w:tc>
      </w:tr>
      <w:tr>
        <w:tc>
          <w:tcPr>
            <w:tcW w:type="dxa" w:w="1944"/>
            <w:vAlign w:val="center"/>
          </w:tcPr>
          <w:p>
            <w:r/>
            <w:r>
              <w:rPr>
                <w:b w:val="0"/>
                <w:sz w:val="16"/>
              </w:rPr>
              <w:t>Context routing</w:t>
            </w:r>
          </w:p>
        </w:tc>
        <w:tc>
          <w:tcPr>
            <w:tcW w:type="dxa" w:w="3600"/>
            <w:vAlign w:val="center"/>
          </w:tcPr>
          <w:p>
            <w:r/>
            <w:r>
              <w:rPr>
                <w:b w:val="0"/>
                <w:sz w:val="16"/>
              </w:rPr>
              <w:t>AI_CONTEXT.md</w:t>
            </w:r>
          </w:p>
        </w:tc>
        <w:tc>
          <w:tcPr>
            <w:tcW w:type="dxa" w:w="4968"/>
            <w:vAlign w:val="center"/>
          </w:tcPr>
          <w:p>
            <w:r/>
            <w:r>
              <w:rPr>
                <w:b w:val="0"/>
                <w:sz w:val="16"/>
              </w:rPr>
              <w:t>Routes each need to the smallest current authority set</w:t>
            </w:r>
          </w:p>
        </w:tc>
      </w:tr>
      <w:tr>
        <w:tc>
          <w:tcPr>
            <w:tcW w:type="dxa" w:w="1944"/>
            <w:vAlign w:val="center"/>
          </w:tcPr>
          <w:p>
            <w:r/>
            <w:r>
              <w:rPr>
                <w:b w:val="0"/>
                <w:sz w:val="16"/>
              </w:rPr>
              <w:t>Lifecycle policy</w:t>
            </w:r>
          </w:p>
        </w:tc>
        <w:tc>
          <w:tcPr>
            <w:tcW w:type="dxa" w:w="3600"/>
            <w:vAlign w:val="center"/>
          </w:tcPr>
          <w:p>
            <w:r/>
            <w:r>
              <w:rPr>
                <w:b w:val="0"/>
                <w:sz w:val="16"/>
              </w:rPr>
              <w:t>AI_PLAYBOOK.md</w:t>
            </w:r>
          </w:p>
        </w:tc>
        <w:tc>
          <w:tcPr>
            <w:tcW w:type="dxa" w:w="4968"/>
            <w:vAlign w:val="center"/>
          </w:tcPr>
          <w:p>
            <w:r/>
            <w:r>
              <w:rPr>
                <w:b w:val="0"/>
                <w:sz w:val="16"/>
              </w:rPr>
              <w:t>Defines stages, gates, approvals, and required procedures</w:t>
            </w:r>
          </w:p>
        </w:tc>
      </w:tr>
      <w:tr>
        <w:tc>
          <w:tcPr>
            <w:tcW w:type="dxa" w:w="1944"/>
            <w:vAlign w:val="center"/>
          </w:tcPr>
          <w:p>
            <w:r/>
            <w:r>
              <w:rPr>
                <w:b w:val="0"/>
                <w:sz w:val="16"/>
              </w:rPr>
              <w:t>Owner decisions</w:t>
            </w:r>
          </w:p>
        </w:tc>
        <w:tc>
          <w:tcPr>
            <w:tcW w:type="dxa" w:w="3600"/>
            <w:vAlign w:val="center"/>
          </w:tcPr>
          <w:p>
            <w:r/>
            <w:r>
              <w:rPr>
                <w:b w:val="0"/>
                <w:sz w:val="16"/>
              </w:rPr>
              <w:t>docs/decisions/DECISION_REGISTER.md</w:t>
            </w:r>
          </w:p>
        </w:tc>
        <w:tc>
          <w:tcPr>
            <w:tcW w:type="dxa" w:w="4968"/>
            <w:vAlign w:val="center"/>
          </w:tcPr>
          <w:p>
            <w:r/>
            <w:r>
              <w:rPr>
                <w:b w:val="0"/>
                <w:sz w:val="16"/>
              </w:rPr>
              <w:t>Current product, design, architecture, protected-boundary, and governance decisions</w:t>
            </w:r>
          </w:p>
        </w:tc>
      </w:tr>
      <w:tr>
        <w:tc>
          <w:tcPr>
            <w:tcW w:type="dxa" w:w="1944"/>
            <w:vAlign w:val="center"/>
          </w:tcPr>
          <w:p>
            <w:r/>
            <w:r>
              <w:rPr>
                <w:b w:val="0"/>
                <w:sz w:val="16"/>
              </w:rPr>
              <w:t>Product authority</w:t>
            </w:r>
          </w:p>
        </w:tc>
        <w:tc>
          <w:tcPr>
            <w:tcW w:type="dxa" w:w="3600"/>
            <w:vAlign w:val="center"/>
          </w:tcPr>
          <w:p>
            <w:r/>
            <w:r>
              <w:rPr>
                <w:b w:val="0"/>
                <w:sz w:val="16"/>
              </w:rPr>
              <w:t>docs/product/approved/PRD.md</w:t>
            </w:r>
          </w:p>
        </w:tc>
        <w:tc>
          <w:tcPr>
            <w:tcW w:type="dxa" w:w="4968"/>
            <w:vAlign w:val="center"/>
          </w:tcPr>
          <w:p>
            <w:r/>
            <w:r>
              <w:rPr>
                <w:b w:val="0"/>
                <w:sz w:val="16"/>
              </w:rPr>
              <w:t>Chain-top approved product behavior and scope</w:t>
            </w:r>
          </w:p>
        </w:tc>
      </w:tr>
      <w:tr>
        <w:tc>
          <w:tcPr>
            <w:tcW w:type="dxa" w:w="1944"/>
            <w:vAlign w:val="center"/>
          </w:tcPr>
          <w:p>
            <w:r/>
            <w:r>
              <w:rPr>
                <w:b w:val="0"/>
                <w:sz w:val="16"/>
              </w:rPr>
              <w:t>Feature map/input</w:t>
            </w:r>
          </w:p>
        </w:tc>
        <w:tc>
          <w:tcPr>
            <w:tcW w:type="dxa" w:w="3600"/>
            <w:vAlign w:val="center"/>
          </w:tcPr>
          <w:p>
            <w:r/>
            <w:r>
              <w:rPr>
                <w:b w:val="0"/>
                <w:sz w:val="16"/>
              </w:rPr>
              <w:t>docs/feature-inputs/...</w:t>
            </w:r>
          </w:p>
        </w:tc>
        <w:tc>
          <w:tcPr>
            <w:tcW w:type="dxa" w:w="4968"/>
            <w:vAlign w:val="center"/>
          </w:tcPr>
          <w:p>
            <w:r/>
            <w:r>
              <w:rPr>
                <w:b w:val="0"/>
                <w:sz w:val="16"/>
              </w:rPr>
              <w:t>Bounded feature sequence and tool-neutral feature input</w:t>
            </w:r>
          </w:p>
        </w:tc>
      </w:tr>
      <w:tr>
        <w:tc>
          <w:tcPr>
            <w:tcW w:type="dxa" w:w="1944"/>
            <w:vAlign w:val="center"/>
          </w:tcPr>
          <w:p>
            <w:r/>
            <w:r>
              <w:rPr>
                <w:b w:val="0"/>
                <w:sz w:val="16"/>
              </w:rPr>
              <w:t>Architecture spine</w:t>
            </w:r>
          </w:p>
        </w:tc>
        <w:tc>
          <w:tcPr>
            <w:tcW w:type="dxa" w:w="3600"/>
            <w:vAlign w:val="center"/>
          </w:tcPr>
          <w:p>
            <w:r/>
            <w:r>
              <w:rPr>
                <w:b w:val="0"/>
                <w:sz w:val="16"/>
              </w:rPr>
              <w:t>docs/architecture/ARCHITECTURE_SPINE.md</w:t>
            </w:r>
          </w:p>
        </w:tc>
        <w:tc>
          <w:tcPr>
            <w:tcW w:type="dxa" w:w="4968"/>
            <w:vAlign w:val="center"/>
          </w:tcPr>
          <w:p>
            <w:r/>
            <w:r>
              <w:rPr>
                <w:b w:val="0"/>
                <w:sz w:val="16"/>
              </w:rPr>
              <w:t>Cross-feature boundaries and accepted architecture baseline</w:t>
            </w:r>
          </w:p>
        </w:tc>
      </w:tr>
      <w:tr>
        <w:tc>
          <w:tcPr>
            <w:tcW w:type="dxa" w:w="1944"/>
            <w:vAlign w:val="center"/>
          </w:tcPr>
          <w:p>
            <w:r/>
            <w:r>
              <w:rPr>
                <w:b w:val="0"/>
                <w:sz w:val="16"/>
              </w:rPr>
              <w:t>ADRs</w:t>
            </w:r>
          </w:p>
        </w:tc>
        <w:tc>
          <w:tcPr>
            <w:tcW w:type="dxa" w:w="3600"/>
            <w:vAlign w:val="center"/>
          </w:tcPr>
          <w:p>
            <w:r/>
            <w:r>
              <w:rPr>
                <w:b w:val="0"/>
                <w:sz w:val="16"/>
              </w:rPr>
              <w:t>docs/architecture/adrs/ADR-*.md</w:t>
            </w:r>
          </w:p>
        </w:tc>
        <w:tc>
          <w:tcPr>
            <w:tcW w:type="dxa" w:w="4968"/>
            <w:vAlign w:val="center"/>
          </w:tcPr>
          <w:p>
            <w:r/>
            <w:r>
              <w:rPr>
                <w:b w:val="0"/>
                <w:sz w:val="16"/>
              </w:rPr>
              <w:t>Concrete accepted technical decisions</w:t>
            </w:r>
          </w:p>
        </w:tc>
      </w:tr>
      <w:tr>
        <w:tc>
          <w:tcPr>
            <w:tcW w:type="dxa" w:w="1944"/>
            <w:vAlign w:val="center"/>
          </w:tcPr>
          <w:p>
            <w:r/>
            <w:r>
              <w:rPr>
                <w:b w:val="0"/>
                <w:sz w:val="16"/>
              </w:rPr>
              <w:t>Architecture coverage</w:t>
            </w:r>
          </w:p>
        </w:tc>
        <w:tc>
          <w:tcPr>
            <w:tcW w:type="dxa" w:w="3600"/>
            <w:vAlign w:val="center"/>
          </w:tcPr>
          <w:p>
            <w:r/>
            <w:r>
              <w:rPr>
                <w:b w:val="0"/>
                <w:sz w:val="16"/>
              </w:rPr>
              <w:t>docs/architecture/cross-feature-architecture-coverage.md</w:t>
            </w:r>
          </w:p>
        </w:tc>
        <w:tc>
          <w:tcPr>
            <w:tcW w:type="dxa" w:w="4968"/>
            <w:vAlign w:val="center"/>
          </w:tcPr>
          <w:p>
            <w:r/>
            <w:r>
              <w:rPr>
                <w:b w:val="0"/>
                <w:sz w:val="16"/>
              </w:rPr>
              <w:t>Decision, implementation, and evidence status for cross-cutting concerns</w:t>
            </w:r>
          </w:p>
        </w:tc>
      </w:tr>
      <w:tr>
        <w:tc>
          <w:tcPr>
            <w:tcW w:type="dxa" w:w="1944"/>
            <w:vAlign w:val="center"/>
          </w:tcPr>
          <w:p>
            <w:r/>
            <w:r>
              <w:rPr>
                <w:b w:val="0"/>
                <w:sz w:val="16"/>
              </w:rPr>
              <w:t>Pre-implementation gate</w:t>
            </w:r>
          </w:p>
        </w:tc>
        <w:tc>
          <w:tcPr>
            <w:tcW w:type="dxa" w:w="3600"/>
            <w:vAlign w:val="center"/>
          </w:tcPr>
          <w:p>
            <w:r/>
            <w:r>
              <w:rPr>
                <w:b w:val="0"/>
                <w:sz w:val="16"/>
              </w:rPr>
              <w:t>docs/architecture/IMPLEMENTATION_READINESS_GATE.md</w:t>
            </w:r>
          </w:p>
        </w:tc>
        <w:tc>
          <w:tcPr>
            <w:tcW w:type="dxa" w:w="4968"/>
            <w:vAlign w:val="center"/>
          </w:tcPr>
          <w:p>
            <w:r/>
            <w:r>
              <w:rPr>
                <w:b w:val="0"/>
                <w:sz w:val="16"/>
              </w:rPr>
              <w:t>Repository-wide rules that must pass before production code</w:t>
            </w:r>
          </w:p>
        </w:tc>
      </w:tr>
      <w:tr>
        <w:tc>
          <w:tcPr>
            <w:tcW w:type="dxa" w:w="1944"/>
            <w:vAlign w:val="center"/>
          </w:tcPr>
          <w:p>
            <w:r/>
            <w:r>
              <w:rPr>
                <w:b w:val="0"/>
                <w:sz w:val="16"/>
              </w:rPr>
              <w:t>Design authority</w:t>
            </w:r>
          </w:p>
        </w:tc>
        <w:tc>
          <w:tcPr>
            <w:tcW w:type="dxa" w:w="3600"/>
            <w:vAlign w:val="center"/>
          </w:tcPr>
          <w:p>
            <w:r/>
            <w:r>
              <w:rPr>
                <w:b w:val="0"/>
                <w:sz w:val="16"/>
              </w:rPr>
              <w:t>docs/design/...</w:t>
            </w:r>
          </w:p>
        </w:tc>
        <w:tc>
          <w:tcPr>
            <w:tcW w:type="dxa" w:w="4968"/>
            <w:vAlign w:val="center"/>
          </w:tcPr>
          <w:p>
            <w:r/>
            <w:r>
              <w:rPr>
                <w:b w:val="0"/>
                <w:sz w:val="16"/>
              </w:rPr>
              <w:t>Approved artifact index, screen contracts, design system, information architecture, clarifications</w:t>
            </w:r>
          </w:p>
        </w:tc>
      </w:tr>
      <w:tr>
        <w:tc>
          <w:tcPr>
            <w:tcW w:type="dxa" w:w="1944"/>
            <w:vAlign w:val="center"/>
          </w:tcPr>
          <w:p>
            <w:r/>
            <w:r>
              <w:rPr>
                <w:b w:val="0"/>
                <w:sz w:val="16"/>
              </w:rPr>
              <w:t>Feature contract</w:t>
            </w:r>
          </w:p>
        </w:tc>
        <w:tc>
          <w:tcPr>
            <w:tcW w:type="dxa" w:w="3600"/>
            <w:vAlign w:val="center"/>
          </w:tcPr>
          <w:p>
            <w:r/>
            <w:r>
              <w:rPr>
                <w:b w:val="0"/>
                <w:sz w:val="16"/>
              </w:rPr>
              <w:t>docs/features/&lt;feature-id&gt;/FEATURE_CONTRACT.md</w:t>
            </w:r>
          </w:p>
        </w:tc>
        <w:tc>
          <w:tcPr>
            <w:tcW w:type="dxa" w:w="4968"/>
            <w:vAlign w:val="center"/>
          </w:tcPr>
          <w:p>
            <w:r/>
            <w:r>
              <w:rPr>
                <w:b w:val="0"/>
                <w:sz w:val="16"/>
              </w:rPr>
              <w:t>Owner-approved bounded observable behavior</w:t>
            </w:r>
          </w:p>
        </w:tc>
      </w:tr>
      <w:tr>
        <w:tc>
          <w:tcPr>
            <w:tcW w:type="dxa" w:w="1944"/>
            <w:vAlign w:val="center"/>
          </w:tcPr>
          <w:p>
            <w:r/>
            <w:r>
              <w:rPr>
                <w:b w:val="0"/>
                <w:sz w:val="16"/>
              </w:rPr>
              <w:t>Implementation plan</w:t>
            </w:r>
          </w:p>
        </w:tc>
        <w:tc>
          <w:tcPr>
            <w:tcW w:type="dxa" w:w="3600"/>
            <w:vAlign w:val="center"/>
          </w:tcPr>
          <w:p>
            <w:r/>
            <w:r>
              <w:rPr>
                <w:b w:val="0"/>
                <w:sz w:val="16"/>
              </w:rPr>
              <w:t>docs/features/&lt;feature-id&gt;/IMPLEMENTATION_PLAN.md</w:t>
            </w:r>
          </w:p>
        </w:tc>
        <w:tc>
          <w:tcPr>
            <w:tcW w:type="dxa" w:w="4968"/>
            <w:vAlign w:val="center"/>
          </w:tcPr>
          <w:p>
            <w:r/>
            <w:r>
              <w:rPr>
                <w:b w:val="0"/>
                <w:sz w:val="16"/>
              </w:rPr>
              <w:t>Owner-approved technical plan applying accepted architecture</w:t>
            </w:r>
          </w:p>
        </w:tc>
      </w:tr>
      <w:tr>
        <w:tc>
          <w:tcPr>
            <w:tcW w:type="dxa" w:w="1944"/>
            <w:vAlign w:val="center"/>
          </w:tcPr>
          <w:p>
            <w:r/>
            <w:r>
              <w:rPr>
                <w:b w:val="0"/>
                <w:sz w:val="16"/>
              </w:rPr>
              <w:t>Implementation tasks</w:t>
            </w:r>
          </w:p>
        </w:tc>
        <w:tc>
          <w:tcPr>
            <w:tcW w:type="dxa" w:w="3600"/>
            <w:vAlign w:val="center"/>
          </w:tcPr>
          <w:p>
            <w:r/>
            <w:r>
              <w:rPr>
                <w:b w:val="0"/>
                <w:sz w:val="16"/>
              </w:rPr>
              <w:t>docs/features/&lt;feature-id&gt;/IMPLEMENTATION_TASKS.md</w:t>
            </w:r>
          </w:p>
        </w:tc>
        <w:tc>
          <w:tcPr>
            <w:tcW w:type="dxa" w:w="4968"/>
            <w:vAlign w:val="center"/>
          </w:tcPr>
          <w:p>
            <w:r/>
            <w:r>
              <w:rPr>
                <w:b w:val="0"/>
                <w:sz w:val="16"/>
              </w:rPr>
              <w:t>Dependency-ordered, bounded, evidence-ready implementation obligations</w:t>
            </w:r>
          </w:p>
        </w:tc>
      </w:tr>
      <w:tr>
        <w:tc>
          <w:tcPr>
            <w:tcW w:type="dxa" w:w="1944"/>
            <w:vAlign w:val="center"/>
          </w:tcPr>
          <w:p>
            <w:r/>
            <w:r>
              <w:rPr>
                <w:b w:val="0"/>
                <w:sz w:val="16"/>
              </w:rPr>
              <w:t>Feature readiness report</w:t>
            </w:r>
          </w:p>
        </w:tc>
        <w:tc>
          <w:tcPr>
            <w:tcW w:type="dxa" w:w="3600"/>
            <w:vAlign w:val="center"/>
          </w:tcPr>
          <w:p>
            <w:r/>
            <w:r>
              <w:rPr>
                <w:b w:val="0"/>
                <w:sz w:val="16"/>
              </w:rPr>
              <w:t>docs/features/&lt;feature-id&gt;/READINESS_REPORT.md</w:t>
            </w:r>
          </w:p>
        </w:tc>
        <w:tc>
          <w:tcPr>
            <w:tcW w:type="dxa" w:w="4968"/>
            <w:vAlign w:val="center"/>
          </w:tcPr>
          <w:p>
            <w:r/>
            <w:r>
              <w:rPr>
                <w:b w:val="0"/>
                <w:sz w:val="16"/>
              </w:rPr>
              <w:t>Post-implementation convergence and evidence record</w:t>
            </w:r>
          </w:p>
        </w:tc>
      </w:tr>
      <w:tr>
        <w:tc>
          <w:tcPr>
            <w:tcW w:type="dxa" w:w="1944"/>
            <w:vAlign w:val="center"/>
          </w:tcPr>
          <w:p>
            <w:r/>
            <w:r>
              <w:rPr>
                <w:b w:val="0"/>
                <w:sz w:val="16"/>
              </w:rPr>
              <w:t>Verification evidence</w:t>
            </w:r>
          </w:p>
        </w:tc>
        <w:tc>
          <w:tcPr>
            <w:tcW w:type="dxa" w:w="3600"/>
            <w:vAlign w:val="center"/>
          </w:tcPr>
          <w:p>
            <w:r/>
            <w:r>
              <w:rPr>
                <w:b w:val="0"/>
                <w:sz w:val="16"/>
              </w:rPr>
              <w:t>docs/verification/&lt;feature-id&gt;/</w:t>
            </w:r>
          </w:p>
        </w:tc>
        <w:tc>
          <w:tcPr>
            <w:tcW w:type="dxa" w:w="4968"/>
            <w:vAlign w:val="center"/>
          </w:tcPr>
          <w:p>
            <w:r/>
            <w:r>
              <w:rPr>
                <w:b w:val="0"/>
                <w:sz w:val="16"/>
              </w:rPr>
              <w:t>Only evidence actually produced</w:t>
            </w:r>
          </w:p>
        </w:tc>
      </w:tr>
      <w:tr>
        <w:tc>
          <w:tcPr>
            <w:tcW w:type="dxa" w:w="1944"/>
            <w:vAlign w:val="center"/>
          </w:tcPr>
          <w:p>
            <w:r/>
            <w:r>
              <w:rPr>
                <w:b w:val="0"/>
                <w:sz w:val="16"/>
              </w:rPr>
              <w:t>Release evidence</w:t>
            </w:r>
          </w:p>
        </w:tc>
        <w:tc>
          <w:tcPr>
            <w:tcW w:type="dxa" w:w="3600"/>
            <w:vAlign w:val="center"/>
          </w:tcPr>
          <w:p>
            <w:r/>
            <w:r>
              <w:rPr>
                <w:b w:val="0"/>
                <w:sz w:val="16"/>
              </w:rPr>
              <w:t>docs/release/</w:t>
            </w:r>
          </w:p>
        </w:tc>
        <w:tc>
          <w:tcPr>
            <w:tcW w:type="dxa" w:w="4968"/>
            <w:vAlign w:val="center"/>
          </w:tcPr>
          <w:p>
            <w:r/>
            <w:r>
              <w:rPr>
                <w:b w:val="0"/>
                <w:sz w:val="16"/>
              </w:rPr>
              <w:t>Archive, signing, store distribution, rollout, and release evidence</w:t>
            </w:r>
          </w:p>
        </w:tc>
      </w:tr>
    </w:tbl>
    <w:p/>
    <w:p>
      <w:pPr>
        <w:pStyle w:val="Heading1"/>
      </w:pPr>
      <w:r>
        <w:t>4. End-to-End Pipeline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504"/>
            <w:vAlign w:val="center"/>
            <w:shd w:fill="1F4E78"/>
          </w:tcPr>
          <w:p>
            <w:r/>
            <w:r>
              <w:rPr>
                <w:b/>
                <w:color w:val="FFFFFF"/>
                <w:sz w:val="16"/>
              </w:rPr>
              <w:t>#</w:t>
            </w:r>
          </w:p>
        </w:tc>
        <w:tc>
          <w:tcPr>
            <w:tcW w:type="dxa" w:w="2088"/>
            <w:vAlign w:val="center"/>
            <w:shd w:fill="1F4E78"/>
          </w:tcPr>
          <w:p>
            <w:r/>
            <w:r>
              <w:rPr>
                <w:b/>
                <w:color w:val="FFFFFF"/>
                <w:sz w:val="16"/>
              </w:rPr>
              <w:t>Stage</w:t>
            </w:r>
          </w:p>
        </w:tc>
        <w:tc>
          <w:tcPr>
            <w:tcW w:type="dxa" w:w="5976"/>
            <w:vAlign w:val="center"/>
            <w:shd w:fill="1F4E78"/>
          </w:tcPr>
          <w:p>
            <w:r/>
            <w:r>
              <w:rPr>
                <w:b/>
                <w:color w:val="FFFFFF"/>
                <w:sz w:val="16"/>
              </w:rPr>
              <w:t>Required outcome</w:t>
            </w:r>
          </w:p>
        </w:tc>
        <w:tc>
          <w:tcPr>
            <w:tcW w:type="dxa" w:w="2088"/>
            <w:vAlign w:val="center"/>
            <w:shd w:fill="1F4E78"/>
          </w:tcPr>
          <w:p>
            <w:r/>
            <w:r>
              <w:rPr>
                <w:b/>
                <w:color w:val="FFFFFF"/>
                <w:sz w:val="16"/>
              </w:rPr>
              <w:t>Gate</w:t>
            </w:r>
          </w:p>
        </w:tc>
      </w:tr>
      <w:tr>
        <w:tc>
          <w:tcPr>
            <w:tcW w:type="dxa" w:w="504"/>
            <w:vAlign w:val="center"/>
          </w:tcPr>
          <w:p>
            <w:r/>
            <w:r>
              <w:rPr>
                <w:b w:val="0"/>
                <w:sz w:val="16"/>
              </w:rPr>
              <w:t>0</w:t>
            </w:r>
          </w:p>
        </w:tc>
        <w:tc>
          <w:tcPr>
            <w:tcW w:type="dxa" w:w="2088"/>
            <w:vAlign w:val="center"/>
          </w:tcPr>
          <w:p>
            <w:r/>
            <w:r>
              <w:rPr>
                <w:b w:val="0"/>
                <w:sz w:val="16"/>
              </w:rPr>
              <w:t>Governance initialization</w:t>
            </w:r>
          </w:p>
        </w:tc>
        <w:tc>
          <w:tcPr>
            <w:tcW w:type="dxa" w:w="5976"/>
            <w:vAlign w:val="center"/>
          </w:tcPr>
          <w:p>
            <w:r/>
            <w:r>
              <w:rPr>
                <w:b w:val="0"/>
                <w:sz w:val="16"/>
              </w:rPr>
              <w:t>Establish repository policy, context routing, playbook, constitution-equivalent, owner decision register, canonical paths, status vocabulary, protected boundaries, and templates.</w:t>
            </w:r>
          </w:p>
        </w:tc>
        <w:tc>
          <w:tcPr>
            <w:tcW w:type="dxa" w:w="2088"/>
            <w:vAlign w:val="center"/>
          </w:tcPr>
          <w:p>
            <w:r/>
            <w:r>
              <w:rPr>
                <w:b w:val="0"/>
                <w:sz w:val="16"/>
              </w:rPr>
              <w:t>Owner approves governance baseline.</w:t>
            </w:r>
          </w:p>
        </w:tc>
      </w:tr>
      <w:tr>
        <w:tc>
          <w:tcPr>
            <w:tcW w:type="dxa" w:w="504"/>
            <w:vAlign w:val="center"/>
          </w:tcPr>
          <w:p>
            <w:r/>
            <w:r>
              <w:rPr>
                <w:b w:val="0"/>
                <w:sz w:val="16"/>
              </w:rPr>
              <w:t>1</w:t>
            </w:r>
          </w:p>
        </w:tc>
        <w:tc>
          <w:tcPr>
            <w:tcW w:type="dxa" w:w="2088"/>
            <w:vAlign w:val="center"/>
          </w:tcPr>
          <w:p>
            <w:r/>
            <w:r>
              <w:rPr>
                <w:b w:val="0"/>
                <w:sz w:val="16"/>
              </w:rPr>
              <w:t>Product and design authority</w:t>
            </w:r>
          </w:p>
        </w:tc>
        <w:tc>
          <w:tcPr>
            <w:tcW w:type="dxa" w:w="5976"/>
            <w:vAlign w:val="center"/>
          </w:tcPr>
          <w:p>
            <w:r/>
            <w:r>
              <w:rPr>
                <w:b w:val="0"/>
                <w:sz w:val="16"/>
              </w:rPr>
              <w:t>Approve PRD, feature map, design authority, exact artifacts, screen contracts, design system, and owner clarifications.</w:t>
            </w:r>
          </w:p>
        </w:tc>
        <w:tc>
          <w:tcPr>
            <w:tcW w:type="dxa" w:w="2088"/>
            <w:vAlign w:val="center"/>
          </w:tcPr>
          <w:p>
            <w:r/>
            <w:r>
              <w:rPr>
                <w:b w:val="0"/>
                <w:sz w:val="16"/>
              </w:rPr>
              <w:t>No implementation mechanism is selected here.</w:t>
            </w:r>
          </w:p>
        </w:tc>
      </w:tr>
      <w:tr>
        <w:tc>
          <w:tcPr>
            <w:tcW w:type="dxa" w:w="504"/>
            <w:vAlign w:val="center"/>
          </w:tcPr>
          <w:p>
            <w:r/>
            <w:r>
              <w:rPr>
                <w:b w:val="0"/>
                <w:sz w:val="16"/>
              </w:rPr>
              <w:t>2</w:t>
            </w:r>
          </w:p>
        </w:tc>
        <w:tc>
          <w:tcPr>
            <w:tcW w:type="dxa" w:w="2088"/>
            <w:vAlign w:val="center"/>
          </w:tcPr>
          <w:p>
            <w:r/>
            <w:r>
              <w:rPr>
                <w:b w:val="0"/>
                <w:sz w:val="16"/>
              </w:rPr>
              <w:t>Architecture initialization</w:t>
            </w:r>
          </w:p>
        </w:tc>
        <w:tc>
          <w:tcPr>
            <w:tcW w:type="dxa" w:w="5976"/>
            <w:vAlign w:val="center"/>
          </w:tcPr>
          <w:p>
            <w:r/>
            <w:r>
              <w:rPr>
                <w:b w:val="0"/>
                <w:sz w:val="16"/>
              </w:rPr>
              <w:t>Decide toolchain, modules/targets, presentation state, concurrency, dependency composition, persistence, navigation, background work, permissions/capabilities, privacy, testing, evidence, signing, and release boundaries.</w:t>
            </w:r>
          </w:p>
        </w:tc>
        <w:tc>
          <w:tcPr>
            <w:tcW w:type="dxa" w:w="2088"/>
            <w:vAlign w:val="center"/>
          </w:tcPr>
          <w:p>
            <w:r/>
            <w:r>
              <w:rPr>
                <w:b w:val="0"/>
                <w:sz w:val="16"/>
              </w:rPr>
              <w:t>Architecture readiness and coverage are synchronized.</w:t>
            </w:r>
          </w:p>
        </w:tc>
      </w:tr>
      <w:tr>
        <w:tc>
          <w:tcPr>
            <w:tcW w:type="dxa" w:w="504"/>
            <w:vAlign w:val="center"/>
          </w:tcPr>
          <w:p>
            <w:r/>
            <w:r>
              <w:rPr>
                <w:b w:val="0"/>
                <w:sz w:val="16"/>
              </w:rPr>
              <w:t>3</w:t>
            </w:r>
          </w:p>
        </w:tc>
        <w:tc>
          <w:tcPr>
            <w:tcW w:type="dxa" w:w="2088"/>
            <w:vAlign w:val="center"/>
          </w:tcPr>
          <w:p>
            <w:r/>
            <w:r>
              <w:rPr>
                <w:b w:val="0"/>
                <w:sz w:val="16"/>
              </w:rPr>
              <w:t>Feature input</w:t>
            </w:r>
          </w:p>
        </w:tc>
        <w:tc>
          <w:tcPr>
            <w:tcW w:type="dxa" w:w="5976"/>
            <w:vAlign w:val="center"/>
          </w:tcPr>
          <w:p>
            <w:r>
              <w:t>Create the bounded tool-neutral feature input with invocation contexts, exact success/cancel/failure outcomes, durable mutations and affected consumers, re-entry expectations, risk signals, exclusions, and unresolved product questions.</w:t>
            </w:r>
          </w:p>
        </w:tc>
        <w:tc>
          <w:tcPr>
            <w:tcW w:type="dxa" w:w="2088"/>
            <w:vAlign w:val="center"/>
          </w:tcPr>
          <w:p>
            <w:r/>
            <w:r>
              <w:rPr>
                <w:b w:val="0"/>
                <w:sz w:val="16"/>
              </w:rPr>
              <w:t>Input is ready for contract authoring.</w:t>
            </w:r>
          </w:p>
        </w:tc>
      </w:tr>
      <w:tr>
        <w:tc>
          <w:tcPr>
            <w:tcW w:type="dxa" w:w="504"/>
            <w:vAlign w:val="center"/>
          </w:tcPr>
          <w:p>
            <w:r/>
            <w:r>
              <w:rPr>
                <w:b w:val="0"/>
                <w:sz w:val="16"/>
              </w:rPr>
              <w:t>4</w:t>
            </w:r>
          </w:p>
        </w:tc>
        <w:tc>
          <w:tcPr>
            <w:tcW w:type="dxa" w:w="2088"/>
            <w:vAlign w:val="center"/>
          </w:tcPr>
          <w:p>
            <w:r/>
            <w:r>
              <w:rPr>
                <w:b w:val="0"/>
                <w:sz w:val="16"/>
              </w:rPr>
              <w:t>Feature contract authoring</w:t>
            </w:r>
          </w:p>
        </w:tc>
        <w:tc>
          <w:tcPr>
            <w:tcW w:type="dxa" w:w="5976"/>
            <w:vAlign w:val="center"/>
          </w:tcPr>
          <w:p>
            <w:r>
              <w:t>Run/freshen complexity classification (default COMPLEX on failure), then define observable behavior, journey/state transitions, mutation-to-consumer outcomes, failure/recovery, design traceability, cross-cutting outcomes, and acceptance scenarios.</w:t>
            </w:r>
          </w:p>
        </w:tc>
        <w:tc>
          <w:tcPr>
            <w:tcW w:type="dxa" w:w="2088"/>
            <w:vAlign w:val="center"/>
          </w:tcPr>
          <w:p>
            <w:r/>
            <w:r>
              <w:rPr>
                <w:b w:val="0"/>
                <w:sz w:val="16"/>
              </w:rPr>
              <w:t>Authoring verdict is ready for independent review or blocked.</w:t>
            </w:r>
          </w:p>
        </w:tc>
      </w:tr>
      <w:tr>
        <w:tc>
          <w:tcPr>
            <w:tcW w:type="dxa" w:w="504"/>
            <w:vAlign w:val="center"/>
          </w:tcPr>
          <w:p>
            <w:r/>
            <w:r>
              <w:rPr>
                <w:b w:val="0"/>
                <w:sz w:val="16"/>
              </w:rPr>
              <w:t>5</w:t>
            </w:r>
          </w:p>
        </w:tc>
        <w:tc>
          <w:tcPr>
            <w:tcW w:type="dxa" w:w="2088"/>
            <w:vAlign w:val="center"/>
          </w:tcPr>
          <w:p>
            <w:r/>
            <w:r>
              <w:rPr>
                <w:b w:val="0"/>
                <w:sz w:val="16"/>
              </w:rPr>
              <w:t>Feature contract review</w:t>
            </w:r>
          </w:p>
        </w:tc>
        <w:tc>
          <w:tcPr>
            <w:tcW w:type="dxa" w:w="5976"/>
            <w:vAlign w:val="center"/>
          </w:tcPr>
          <w:p>
            <w:r/>
            <w:r>
              <w:rPr>
                <w:b w:val="0"/>
                <w:sz w:val="16"/>
              </w:rPr>
              <w:t>Independently check scope fidelity, source-backed validation, later-feature leakage, design traceability, evidence sufficiency, and implementation neutrality.</w:t>
            </w:r>
          </w:p>
        </w:tc>
        <w:tc>
          <w:tcPr>
            <w:tcW w:type="dxa" w:w="2088"/>
            <w:vAlign w:val="center"/>
          </w:tcPr>
          <w:p>
            <w:r/>
            <w:r>
              <w:rPr>
                <w:b w:val="0"/>
                <w:sz w:val="16"/>
              </w:rPr>
              <w:t>PASS means ready for owner contract approval only.</w:t>
            </w:r>
          </w:p>
        </w:tc>
      </w:tr>
      <w:tr>
        <w:tc>
          <w:tcPr>
            <w:tcW w:type="dxa" w:w="504"/>
            <w:vAlign w:val="center"/>
          </w:tcPr>
          <w:p>
            <w:r/>
            <w:r>
              <w:rPr>
                <w:b w:val="0"/>
                <w:sz w:val="16"/>
              </w:rPr>
              <w:t>6</w:t>
            </w:r>
          </w:p>
        </w:tc>
        <w:tc>
          <w:tcPr>
            <w:tcW w:type="dxa" w:w="2088"/>
            <w:vAlign w:val="center"/>
          </w:tcPr>
          <w:p>
            <w:r/>
            <w:r>
              <w:rPr>
                <w:b w:val="0"/>
                <w:sz w:val="16"/>
              </w:rPr>
              <w:t>Owner contract approval</w:t>
            </w:r>
          </w:p>
        </w:tc>
        <w:tc>
          <w:tcPr>
            <w:tcW w:type="dxa" w:w="5976"/>
            <w:vAlign w:val="center"/>
          </w:tcPr>
          <w:p>
            <w:r/>
            <w:r>
              <w:rPr>
                <w:b w:val="0"/>
                <w:sz w:val="16"/>
              </w:rPr>
              <w:t>Owner resolves remaining product decisions and approves the bounded behavior.</w:t>
            </w:r>
          </w:p>
        </w:tc>
        <w:tc>
          <w:tcPr>
            <w:tcW w:type="dxa" w:w="2088"/>
            <w:vAlign w:val="center"/>
          </w:tcPr>
          <w:p>
            <w:r/>
            <w:r>
              <w:rPr>
                <w:b w:val="0"/>
                <w:sz w:val="16"/>
              </w:rPr>
              <w:t>Does not authorize planning or implementation by itself.</w:t>
            </w:r>
          </w:p>
        </w:tc>
      </w:tr>
      <w:tr>
        <w:tc>
          <w:tcPr>
            <w:tcW w:type="dxa" w:w="504"/>
            <w:vAlign w:val="center"/>
          </w:tcPr>
          <w:p>
            <w:r/>
            <w:r>
              <w:rPr>
                <w:b w:val="0"/>
                <w:sz w:val="16"/>
              </w:rPr>
              <w:t>7</w:t>
            </w:r>
          </w:p>
        </w:tc>
        <w:tc>
          <w:tcPr>
            <w:tcW w:type="dxa" w:w="2088"/>
            <w:vAlign w:val="center"/>
          </w:tcPr>
          <w:p>
            <w:r/>
            <w:r>
              <w:rPr>
                <w:b w:val="0"/>
                <w:sz w:val="16"/>
              </w:rPr>
              <w:t>Implementation plan authoring</w:t>
            </w:r>
          </w:p>
        </w:tc>
        <w:tc>
          <w:tcPr>
            <w:tcW w:type="dxa" w:w="5976"/>
            <w:vAlign w:val="center"/>
          </w:tcPr>
          <w:p>
            <w:r/>
            <w:r>
              <w:rPr>
                <w:b w:val="0"/>
                <w:sz w:val="16"/>
              </w:rPr>
              <w:t>Apply accepted architecture to modules, state holders, repositories, persistence, navigation, lifecycle, screens, adaptive UI, localization, accessibility, tests, evidence, risks, and implementation order.</w:t>
            </w:r>
          </w:p>
        </w:tc>
        <w:tc>
          <w:tcPr>
            <w:tcW w:type="dxa" w:w="2088"/>
            <w:vAlign w:val="center"/>
          </w:tcPr>
          <w:p>
            <w:r/>
            <w:r>
              <w:rPr>
                <w:b w:val="0"/>
                <w:sz w:val="16"/>
              </w:rPr>
              <w:t>No task IDs, estimates, assignments, code, schema, or migrations.</w:t>
            </w:r>
          </w:p>
        </w:tc>
      </w:tr>
      <w:tr>
        <w:tc>
          <w:tcPr>
            <w:tcW w:type="dxa" w:w="504"/>
            <w:vAlign w:val="center"/>
          </w:tcPr>
          <w:p>
            <w:r/>
            <w:r>
              <w:rPr>
                <w:b w:val="0"/>
                <w:sz w:val="16"/>
              </w:rPr>
              <w:t>8</w:t>
            </w:r>
          </w:p>
        </w:tc>
        <w:tc>
          <w:tcPr>
            <w:tcW w:type="dxa" w:w="2088"/>
            <w:vAlign w:val="center"/>
          </w:tcPr>
          <w:p>
            <w:r/>
            <w:r>
              <w:rPr>
                <w:b w:val="0"/>
                <w:sz w:val="16"/>
              </w:rPr>
              <w:t>Implementation plan review</w:t>
            </w:r>
          </w:p>
        </w:tc>
        <w:tc>
          <w:tcPr>
            <w:tcW w:type="dxa" w:w="5976"/>
            <w:vAlign w:val="center"/>
          </w:tcPr>
          <w:p>
            <w:r/>
            <w:r>
              <w:rPr>
                <w:b w:val="0"/>
                <w:sz w:val="16"/>
              </w:rPr>
              <w:t>Independently verify contract fidelity, architecture conformance, exact design mapping, persistence correctness, cross-cutting completeness, and evidence sufficiency.</w:t>
            </w:r>
          </w:p>
        </w:tc>
        <w:tc>
          <w:tcPr>
            <w:tcW w:type="dxa" w:w="2088"/>
            <w:vAlign w:val="center"/>
          </w:tcPr>
          <w:p>
            <w:r/>
            <w:r>
              <w:rPr>
                <w:b w:val="0"/>
                <w:sz w:val="16"/>
              </w:rPr>
              <w:t>PASS means ready for owner plan approval only.</w:t>
            </w:r>
          </w:p>
        </w:tc>
      </w:tr>
      <w:tr>
        <w:tc>
          <w:tcPr>
            <w:tcW w:type="dxa" w:w="504"/>
            <w:vAlign w:val="center"/>
          </w:tcPr>
          <w:p>
            <w:r/>
            <w:r>
              <w:rPr>
                <w:b w:val="0"/>
                <w:sz w:val="16"/>
              </w:rPr>
              <w:t>9</w:t>
            </w:r>
          </w:p>
        </w:tc>
        <w:tc>
          <w:tcPr>
            <w:tcW w:type="dxa" w:w="2088"/>
            <w:vAlign w:val="center"/>
          </w:tcPr>
          <w:p>
            <w:r/>
            <w:r>
              <w:rPr>
                <w:b w:val="0"/>
                <w:sz w:val="16"/>
              </w:rPr>
              <w:t>Owner plan approval</w:t>
            </w:r>
          </w:p>
        </w:tc>
        <w:tc>
          <w:tcPr>
            <w:tcW w:type="dxa" w:w="5976"/>
            <w:vAlign w:val="center"/>
          </w:tcPr>
          <w:p>
            <w:r/>
            <w:r>
              <w:rPr>
                <w:b w:val="0"/>
                <w:sz w:val="16"/>
              </w:rPr>
              <w:t>Owner approves the technical plan and closes required technical decisions.</w:t>
            </w:r>
          </w:p>
        </w:tc>
        <w:tc>
          <w:tcPr>
            <w:tcW w:type="dxa" w:w="2088"/>
            <w:vAlign w:val="center"/>
          </w:tcPr>
          <w:p>
            <w:r/>
            <w:r>
              <w:rPr>
                <w:b w:val="0"/>
                <w:sz w:val="16"/>
              </w:rPr>
              <w:t>Still does not authorize implementation.</w:t>
            </w:r>
          </w:p>
        </w:tc>
      </w:tr>
      <w:tr>
        <w:tc>
          <w:tcPr>
            <w:tcW w:type="dxa" w:w="504"/>
            <w:vAlign w:val="center"/>
          </w:tcPr>
          <w:p>
            <w:r/>
            <w:r>
              <w:rPr>
                <w:b w:val="0"/>
                <w:sz w:val="16"/>
              </w:rPr>
              <w:t>10</w:t>
            </w:r>
          </w:p>
        </w:tc>
        <w:tc>
          <w:tcPr>
            <w:tcW w:type="dxa" w:w="2088"/>
            <w:vAlign w:val="center"/>
          </w:tcPr>
          <w:p>
            <w:r/>
            <w:r>
              <w:rPr>
                <w:b w:val="0"/>
                <w:sz w:val="16"/>
              </w:rPr>
              <w:t>Task authoring</w:t>
            </w:r>
          </w:p>
        </w:tc>
        <w:tc>
          <w:tcPr>
            <w:tcW w:type="dxa" w:w="5976"/>
            <w:vAlign w:val="center"/>
          </w:tcPr>
          <w:p>
            <w:r>
              <w:t>Create dependency-ordered coherent outcomes with allowed/prohibited scope, acceptance criteria, origin-aware vertical proof, and verification timing. Every concern needs ownership; it does not require its own task.</w:t>
            </w:r>
          </w:p>
        </w:tc>
        <w:tc>
          <w:tcPr>
            <w:tcW w:type="dxa" w:w="2088"/>
            <w:vAlign w:val="center"/>
          </w:tcPr>
          <w:p>
            <w:r/>
            <w:r>
              <w:rPr>
                <w:b w:val="0"/>
                <w:sz w:val="16"/>
              </w:rPr>
              <w:t>No production code is created.</w:t>
            </w:r>
          </w:p>
        </w:tc>
      </w:tr>
      <w:tr>
        <w:tc>
          <w:tcPr>
            <w:tcW w:type="dxa" w:w="504"/>
            <w:vAlign w:val="center"/>
          </w:tcPr>
          <w:p>
            <w:r/>
            <w:r>
              <w:rPr>
                <w:b w:val="0"/>
                <w:sz w:val="16"/>
              </w:rPr>
              <w:t>11</w:t>
            </w:r>
          </w:p>
        </w:tc>
        <w:tc>
          <w:tcPr>
            <w:tcW w:type="dxa" w:w="2088"/>
            <w:vAlign w:val="center"/>
          </w:tcPr>
          <w:p>
            <w:r/>
            <w:r>
              <w:rPr>
                <w:b w:val="0"/>
                <w:sz w:val="16"/>
              </w:rPr>
              <w:t>Task review and owner approval</w:t>
            </w:r>
          </w:p>
        </w:tc>
        <w:tc>
          <w:tcPr>
            <w:tcW w:type="dxa" w:w="5976"/>
            <w:vAlign w:val="center"/>
          </w:tcPr>
          <w:p>
            <w:r/>
            <w:r>
              <w:rPr>
                <w:b w:val="0"/>
                <w:sz w:val="16"/>
              </w:rPr>
              <w:t>Independently review coverage, sizing, dependencies, architecture, design, evidence, and authorization honesty; owner approves the task set.</w:t>
            </w:r>
          </w:p>
        </w:tc>
        <w:tc>
          <w:tcPr>
            <w:tcW w:type="dxa" w:w="2088"/>
            <w:vAlign w:val="center"/>
          </w:tcPr>
          <w:p>
            <w:r/>
            <w:r>
              <w:rPr>
                <w:b w:val="0"/>
                <w:sz w:val="16"/>
              </w:rPr>
              <w:t>PASS means ready for owner task approval only.</w:t>
            </w:r>
          </w:p>
        </w:tc>
      </w:tr>
      <w:tr>
        <w:tc>
          <w:tcPr>
            <w:tcW w:type="dxa" w:w="504"/>
            <w:vAlign w:val="center"/>
          </w:tcPr>
          <w:p>
            <w:r/>
            <w:r>
              <w:rPr>
                <w:b w:val="0"/>
                <w:sz w:val="16"/>
              </w:rPr>
              <w:t>12</w:t>
            </w:r>
          </w:p>
        </w:tc>
        <w:tc>
          <w:tcPr>
            <w:tcW w:type="dxa" w:w="2088"/>
            <w:vAlign w:val="center"/>
          </w:tcPr>
          <w:p>
            <w:r/>
            <w:r>
              <w:rPr>
                <w:b w:val="0"/>
                <w:sz w:val="16"/>
              </w:rPr>
              <w:t>Pre-implementation readiness</w:t>
            </w:r>
          </w:p>
        </w:tc>
        <w:tc>
          <w:tcPr>
            <w:tcW w:type="dxa" w:w="5976"/>
            <w:vAlign w:val="center"/>
          </w:tcPr>
          <w:p>
            <w:r/>
            <w:r>
              <w:rPr>
                <w:b w:val="0"/>
                <w:sz w:val="16"/>
              </w:rPr>
              <w:t>Execute the mandatory readiness gate for the feature. All applicable gates must be PASS or owner-authorized N/A.</w:t>
            </w:r>
          </w:p>
        </w:tc>
        <w:tc>
          <w:tcPr>
            <w:tcW w:type="dxa" w:w="2088"/>
            <w:vAlign w:val="center"/>
          </w:tcPr>
          <w:p>
            <w:r/>
            <w:r>
              <w:rPr>
                <w:b w:val="0"/>
                <w:sz w:val="16"/>
              </w:rPr>
              <w:t>Any FAIL, BLOCKED, NEEDS VERIFICATION, contradiction, or missing evidence stops implementation.</w:t>
            </w:r>
          </w:p>
        </w:tc>
      </w:tr>
      <w:tr>
        <w:tc>
          <w:tcPr>
            <w:tcW w:type="dxa" w:w="504"/>
            <w:vAlign w:val="center"/>
          </w:tcPr>
          <w:p>
            <w:r/>
            <w:r>
              <w:rPr>
                <w:b w:val="0"/>
                <w:sz w:val="16"/>
              </w:rPr>
              <w:t>13</w:t>
            </w:r>
          </w:p>
        </w:tc>
        <w:tc>
          <w:tcPr>
            <w:tcW w:type="dxa" w:w="2088"/>
            <w:vAlign w:val="center"/>
          </w:tcPr>
          <w:p>
            <w:r/>
            <w:r>
              <w:rPr>
                <w:b w:val="0"/>
                <w:sz w:val="16"/>
              </w:rPr>
              <w:t>Implementation authorization</w:t>
            </w:r>
          </w:p>
        </w:tc>
        <w:tc>
          <w:tcPr>
            <w:tcW w:type="dxa" w:w="5976"/>
            <w:vAlign w:val="center"/>
          </w:tcPr>
          <w:p>
            <w:r/>
            <w:r>
              <w:rPr>
                <w:b w:val="0"/>
                <w:sz w:val="16"/>
              </w:rPr>
              <w:t>Owner explicitly authorizes implementation for a bounded task set or slice.</w:t>
            </w:r>
          </w:p>
        </w:tc>
        <w:tc>
          <w:tcPr>
            <w:tcW w:type="dxa" w:w="2088"/>
            <w:vAlign w:val="center"/>
          </w:tcPr>
          <w:p>
            <w:r/>
            <w:r>
              <w:rPr>
                <w:b w:val="0"/>
                <w:sz w:val="16"/>
              </w:rPr>
              <w:t>Authorization must be recorded canonically.</w:t>
            </w:r>
          </w:p>
        </w:tc>
      </w:tr>
      <w:tr>
        <w:tc>
          <w:tcPr>
            <w:tcW w:type="dxa" w:w="504"/>
            <w:vAlign w:val="center"/>
          </w:tcPr>
          <w:p>
            <w:r/>
            <w:r>
              <w:rPr>
                <w:b w:val="0"/>
                <w:sz w:val="16"/>
              </w:rPr>
              <w:t>14</w:t>
            </w:r>
          </w:p>
        </w:tc>
        <w:tc>
          <w:tcPr>
            <w:tcW w:type="dxa" w:w="2088"/>
            <w:vAlign w:val="center"/>
          </w:tcPr>
          <w:p>
            <w:r>
              <w:t>Bounded implementation</w:t>
            </w:r>
          </w:p>
        </w:tc>
        <w:tc>
          <w:tcPr>
            <w:tcW w:type="dxa" w:w="5976"/>
            <w:vAlign w:val="center"/>
          </w:tcPr>
          <w:p>
            <w:r>
              <w:t>Run `bounded-feature-implementation` for one authorized coherent task group. Preserve architecture/journeys and execute TASK-CLOSURE evidence only by default; reuse valid artifacts and stop at the task-group boundary.</w:t>
            </w:r>
          </w:p>
        </w:tc>
        <w:tc>
          <w:tcPr>
            <w:tcW w:type="dxa" w:w="2088"/>
            <w:vAlign w:val="center"/>
          </w:tcPr>
          <w:p>
            <w:r>
              <w:t>Task completion requires current TASK-CLOSURE evidence and vertical journey proof where applicable; convergence/final-readiness checks stay deferred unless this task owns them.</w:t>
            </w:r>
          </w:p>
        </w:tc>
      </w:tr>
      <w:tr>
        <w:tc>
          <w:tcPr>
            <w:tcW w:type="dxa" w:w="504"/>
            <w:vAlign w:val="center"/>
          </w:tcPr>
          <w:p>
            <w:r/>
            <w:r>
              <w:rPr>
                <w:b w:val="0"/>
                <w:sz w:val="16"/>
              </w:rPr>
              <w:t>15</w:t>
            </w:r>
          </w:p>
        </w:tc>
        <w:tc>
          <w:tcPr>
            <w:tcW w:type="dxa" w:w="2088"/>
            <w:vAlign w:val="center"/>
          </w:tcPr>
          <w:p>
            <w:r/>
            <w:r>
              <w:rPr>
                <w:b w:val="0"/>
                <w:sz w:val="16"/>
              </w:rPr>
              <w:t>Implementation convergence</w:t>
            </w:r>
          </w:p>
        </w:tc>
        <w:tc>
          <w:tcPr>
            <w:tcW w:type="dxa" w:w="5976"/>
            <w:vAlign w:val="center"/>
          </w:tcPr>
          <w:p>
            <w:r>
              <w:t>Independently review the complete coherent feature, execute/collect FEATURE-CONVERGENCE evidence once, map reusable evidence before reruns, verify integration/CI/docs/production integrity, and classify blockers as implementation, CI, evidence, documentation, repository-state, or owner-decision.</w:t>
            </w:r>
          </w:p>
        </w:tc>
        <w:tc>
          <w:tcPr>
            <w:tcW w:type="dxa" w:w="2088"/>
            <w:vAlign w:val="center"/>
          </w:tcPr>
          <w:p>
            <w:r/>
            <w:r>
              <w:rPr>
                <w:b w:val="0"/>
                <w:sz w:val="16"/>
              </w:rPr>
              <w:t>Produces or updates the feature readiness report.</w:t>
            </w:r>
          </w:p>
        </w:tc>
      </w:tr>
      <w:tr>
        <w:tc>
          <w:tcPr>
            <w:tcW w:type="dxa" w:w="504"/>
            <w:vAlign w:val="center"/>
          </w:tcPr>
          <w:p>
            <w:r>
              <w:t>16</w:t>
            </w:r>
          </w:p>
        </w:tc>
        <w:tc>
          <w:tcPr>
            <w:tcW w:type="dxa" w:w="2088"/>
            <w:vAlign w:val="center"/>
          </w:tcPr>
          <w:p>
            <w:r>
              <w:t>Final-readiness evidence closure</w:t>
            </w:r>
          </w:p>
        </w:tc>
        <w:tc>
          <w:tcPr>
            <w:tcW w:type="dxa" w:w="5976"/>
            <w:vAlign w:val="center"/>
          </w:tcPr>
          <w:p>
            <w:r>
              <w:t>Run only applicable deferred FINAL-READINESS checks using existing platform runtime/accessibility/privacy/persistence/performance procedures. Prefer representative/manual validation for subjective or device-only claims and update READINESS_REPORT.md with actual results.</w:t>
            </w:r>
          </w:p>
        </w:tc>
        <w:tc>
          <w:tcPr>
            <w:tcW w:type="dxa" w:w="2088"/>
            <w:vAlign w:val="center"/>
          </w:tcPr>
          <w:p>
            <w:r>
              <w:t>All applicable deferred checks are passed or owner-authorized N/A before independent readiness review.</w:t>
            </w:r>
          </w:p>
        </w:tc>
      </w:tr>
      <w:tr>
        <w:tc>
          <w:tcPr>
            <w:tcW w:type="dxa" w:w="504"/>
            <w:vAlign w:val="center"/>
          </w:tcPr>
          <w:p>
            <w:r>
              <w:t>17</w:t>
            </w:r>
          </w:p>
        </w:tc>
        <w:tc>
          <w:tcPr>
            <w:tcW w:type="dxa" w:w="2088"/>
            <w:vAlign w:val="center"/>
          </w:tcPr>
          <w:p>
            <w:r/>
            <w:r>
              <w:rPr>
                <w:b w:val="0"/>
                <w:sz w:val="16"/>
              </w:rPr>
              <w:t>Independent feature readiness review</w:t>
            </w:r>
          </w:p>
        </w:tc>
        <w:tc>
          <w:tcPr>
            <w:tcW w:type="dxa" w:w="5976"/>
            <w:vAlign w:val="center"/>
          </w:tcPr>
          <w:p>
            <w:r>
              <w:t>Independently challenge the convergence report with targeted spot-checks of a critical journey, architecture boundary, applicable protected/persistence invariant, and referenced evidence; escalate to full review only on inconsistency, failure, or high risk.</w:t>
            </w:r>
          </w:p>
        </w:tc>
        <w:tc>
          <w:tcPr>
            <w:tcW w:type="dxa" w:w="2088"/>
            <w:vAlign w:val="center"/>
          </w:tcPr>
          <w:p>
            <w:r/>
            <w:r>
              <w:rPr>
                <w:b w:val="0"/>
                <w:sz w:val="16"/>
              </w:rPr>
              <w:t>PASS means ready for owner feature acceptance only.</w:t>
            </w:r>
          </w:p>
        </w:tc>
      </w:tr>
      <w:tr>
        <w:tc>
          <w:tcPr>
            <w:tcW w:type="dxa" w:w="504"/>
            <w:vAlign w:val="center"/>
          </w:tcPr>
          <w:p>
            <w:r>
              <w:t>18</w:t>
            </w:r>
          </w:p>
        </w:tc>
        <w:tc>
          <w:tcPr>
            <w:tcW w:type="dxa" w:w="2088"/>
            <w:vAlign w:val="center"/>
          </w:tcPr>
          <w:p>
            <w:r/>
            <w:r>
              <w:rPr>
                <w:b w:val="0"/>
                <w:sz w:val="16"/>
              </w:rPr>
              <w:t>Owner feature acceptance</w:t>
            </w:r>
          </w:p>
        </w:tc>
        <w:tc>
          <w:tcPr>
            <w:tcW w:type="dxa" w:w="5976"/>
            <w:vAlign w:val="center"/>
          </w:tcPr>
          <w:p>
            <w:r/>
            <w:r>
              <w:rPr>
                <w:b w:val="0"/>
                <w:sz w:val="16"/>
              </w:rPr>
              <w:t>Owner accepts the implemented feature or returns it for correction/evidence.</w:t>
            </w:r>
          </w:p>
        </w:tc>
        <w:tc>
          <w:tcPr>
            <w:tcW w:type="dxa" w:w="2088"/>
            <w:vAlign w:val="center"/>
          </w:tcPr>
          <w:p>
            <w:r/>
            <w:r>
              <w:rPr>
                <w:b w:val="0"/>
                <w:sz w:val="16"/>
              </w:rPr>
              <w:t>Feature acceptance does not authorize release.</w:t>
            </w:r>
          </w:p>
        </w:tc>
      </w:tr>
      <w:tr>
        <w:tc>
          <w:tcPr>
            <w:tcW w:type="dxa" w:w="504"/>
            <w:vAlign w:val="center"/>
          </w:tcPr>
          <w:p>
            <w:r>
              <w:t>19</w:t>
            </w:r>
          </w:p>
        </w:tc>
        <w:tc>
          <w:tcPr>
            <w:tcW w:type="dxa" w:w="2088"/>
            <w:vAlign w:val="center"/>
          </w:tcPr>
          <w:p>
            <w:r/>
            <w:r>
              <w:rPr>
                <w:b w:val="0"/>
                <w:sz w:val="16"/>
              </w:rPr>
              <w:t>Release authorization</w:t>
            </w:r>
          </w:p>
        </w:tc>
        <w:tc>
          <w:tcPr>
            <w:tcW w:type="dxa" w:w="5976"/>
            <w:vAlign w:val="center"/>
          </w:tcPr>
          <w:p>
            <w:r/>
            <w:r>
              <w:rPr>
                <w:b w:val="0"/>
                <w:sz w:val="16"/>
              </w:rPr>
              <w:t>Owner separately authorizes signing, archive, store distribution, staged rollout, or production publication.</w:t>
            </w:r>
          </w:p>
        </w:tc>
        <w:tc>
          <w:tcPr>
            <w:tcW w:type="dxa" w:w="2088"/>
            <w:vAlign w:val="center"/>
          </w:tcPr>
          <w:p>
            <w:r/>
            <w:r>
              <w:rPr>
                <w:b w:val="0"/>
                <w:sz w:val="16"/>
              </w:rPr>
              <w:t>Protected activity; explicit scope required.</w:t>
            </w:r>
          </w:p>
        </w:tc>
      </w:tr>
      <w:tr>
        <w:tc>
          <w:tcPr>
            <w:tcW w:type="dxa" w:w="504"/>
            <w:vAlign w:val="center"/>
          </w:tcPr>
          <w:p>
            <w:r>
              <w:t>20</w:t>
            </w:r>
          </w:p>
        </w:tc>
        <w:tc>
          <w:tcPr>
            <w:tcW w:type="dxa" w:w="2088"/>
            <w:vAlign w:val="center"/>
          </w:tcPr>
          <w:p>
            <w:r/>
            <w:r>
              <w:rPr>
                <w:b w:val="0"/>
                <w:sz w:val="16"/>
              </w:rPr>
              <w:t>Release verification and distribution</w:t>
            </w:r>
          </w:p>
        </w:tc>
        <w:tc>
          <w:tcPr>
            <w:tcW w:type="dxa" w:w="5976"/>
            <w:vAlign w:val="center"/>
          </w:tcPr>
          <w:p>
            <w:r/>
            <w:r>
              <w:rPr>
                <w:b w:val="0"/>
                <w:sz w:val="16"/>
              </w:rPr>
              <w:t>Produce archive/signing/privacy/store evidence, inspect release composition, execute rollout and rollback policy, and record release outcome.</w:t>
            </w:r>
          </w:p>
        </w:tc>
        <w:tc>
          <w:tcPr>
            <w:tcW w:type="dxa" w:w="2088"/>
            <w:vAlign w:val="center"/>
          </w:tcPr>
          <w:p>
            <w:r/>
            <w:r>
              <w:rPr>
                <w:b w:val="0"/>
                <w:sz w:val="16"/>
              </w:rPr>
              <w:t>Release claims require matching evidence.</w:t>
            </w:r>
          </w:p>
        </w:tc>
      </w:tr>
      <w:tr>
        <w:tc>
          <w:tcPr>
            <w:tcW w:type="dxa" w:w="504"/>
            <w:vAlign w:val="center"/>
          </w:tcPr>
          <w:p>
            <w:r>
              <w:t>21</w:t>
            </w:r>
          </w:p>
        </w:tc>
        <w:tc>
          <w:tcPr>
            <w:tcW w:type="dxa" w:w="2088"/>
            <w:vAlign w:val="center"/>
          </w:tcPr>
          <w:p>
            <w:r/>
            <w:r>
              <w:rPr>
                <w:b w:val="0"/>
                <w:sz w:val="16"/>
              </w:rPr>
              <w:t>Post-release learning</w:t>
            </w:r>
          </w:p>
        </w:tc>
        <w:tc>
          <w:tcPr>
            <w:tcW w:type="dxa" w:w="5976"/>
            <w:vAlign w:val="center"/>
          </w:tcPr>
          <w:p>
            <w:r/>
            <w:r>
              <w:rPr>
                <w:b w:val="0"/>
                <w:sz w:val="16"/>
              </w:rPr>
              <w:t>Record incidents, regressions, evidence gaps, owner decisions, template/skill improvements, and superseded guidance.</w:t>
            </w:r>
          </w:p>
        </w:tc>
        <w:tc>
          <w:tcPr>
            <w:tcW w:type="dxa" w:w="2088"/>
            <w:vAlign w:val="center"/>
          </w:tcPr>
          <w:p>
            <w:r/>
            <w:r>
              <w:rPr>
                <w:b w:val="0"/>
                <w:sz w:val="16"/>
              </w:rPr>
              <w:t>Governance assets evolve without rewriting history.</w:t>
            </w:r>
          </w:p>
        </w:tc>
      </w:tr>
    </w:tbl>
    <w:p/>
    <w:p>
      <w:pPr>
        <w:pStyle w:val="Heading1"/>
      </w:pPr>
      <w:r>
        <w:t>5. Stage-by-Stage Gates and Outputs</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656"/>
            <w:vAlign w:val="center"/>
            <w:shd w:fill="1F4E78"/>
          </w:tcPr>
          <w:p>
            <w:r/>
            <w:r>
              <w:rPr>
                <w:b/>
                <w:color w:val="FFFFFF"/>
                <w:sz w:val="16"/>
              </w:rPr>
              <w:t>Stage</w:t>
            </w:r>
          </w:p>
        </w:tc>
        <w:tc>
          <w:tcPr>
            <w:tcW w:type="dxa" w:w="2376"/>
            <w:vAlign w:val="center"/>
            <w:shd w:fill="1F4E78"/>
          </w:tcPr>
          <w:p>
            <w:r/>
            <w:r>
              <w:rPr>
                <w:b/>
                <w:color w:val="FFFFFF"/>
                <w:sz w:val="16"/>
              </w:rPr>
              <w:t>Required inputs</w:t>
            </w:r>
          </w:p>
        </w:tc>
        <w:tc>
          <w:tcPr>
            <w:tcW w:type="dxa" w:w="2088"/>
            <w:vAlign w:val="center"/>
            <w:shd w:fill="1F4E78"/>
          </w:tcPr>
          <w:p>
            <w:r/>
            <w:r>
              <w:rPr>
                <w:b/>
                <w:color w:val="FFFFFF"/>
                <w:sz w:val="16"/>
              </w:rPr>
              <w:t>Output</w:t>
            </w:r>
          </w:p>
        </w:tc>
        <w:tc>
          <w:tcPr>
            <w:tcW w:type="dxa" w:w="2160"/>
            <w:vAlign w:val="center"/>
            <w:shd w:fill="1F4E78"/>
          </w:tcPr>
          <w:p>
            <w:r/>
            <w:r>
              <w:rPr>
                <w:b/>
                <w:color w:val="FFFFFF"/>
                <w:sz w:val="16"/>
              </w:rPr>
              <w:t>Approval gate</w:t>
            </w:r>
          </w:p>
        </w:tc>
        <w:tc>
          <w:tcPr>
            <w:tcW w:type="dxa" w:w="3024"/>
            <w:vAlign w:val="center"/>
            <w:shd w:fill="1F4E78"/>
          </w:tcPr>
          <w:p>
            <w:r/>
            <w:r>
              <w:rPr>
                <w:b/>
                <w:color w:val="FFFFFF"/>
                <w:sz w:val="16"/>
              </w:rPr>
              <w:t>Allowed verdicts</w:t>
            </w:r>
          </w:p>
        </w:tc>
      </w:tr>
      <w:tr>
        <w:tc>
          <w:tcPr>
            <w:tcW w:type="dxa" w:w="1656"/>
            <w:vAlign w:val="center"/>
          </w:tcPr>
          <w:p>
            <w:r/>
            <w:r>
              <w:rPr>
                <w:b w:val="0"/>
                <w:sz w:val="16"/>
              </w:rPr>
              <w:t>Feature contract</w:t>
            </w:r>
          </w:p>
        </w:tc>
        <w:tc>
          <w:tcPr>
            <w:tcW w:type="dxa" w:w="2376"/>
            <w:vAlign w:val="center"/>
          </w:tcPr>
          <w:p>
            <w:r/>
            <w:r>
              <w:rPr>
                <w:b w:val="0"/>
                <w:sz w:val="16"/>
              </w:rPr>
              <w:t>Approved feature input and current product/design authority</w:t>
            </w:r>
          </w:p>
        </w:tc>
        <w:tc>
          <w:tcPr>
            <w:tcW w:type="dxa" w:w="2088"/>
            <w:vAlign w:val="center"/>
          </w:tcPr>
          <w:p>
            <w:r/>
            <w:r>
              <w:rPr>
                <w:b w:val="0"/>
                <w:sz w:val="16"/>
              </w:rPr>
              <w:t>FEATURE_CONTRACT.md</w:t>
            </w:r>
          </w:p>
        </w:tc>
        <w:tc>
          <w:tcPr>
            <w:tcW w:type="dxa" w:w="2160"/>
            <w:vAlign w:val="center"/>
          </w:tcPr>
          <w:p>
            <w:r/>
            <w:r>
              <w:rPr>
                <w:b w:val="0"/>
                <w:sz w:val="16"/>
              </w:rPr>
              <w:t>Feature-contract review PASS; owner approval</w:t>
            </w:r>
          </w:p>
        </w:tc>
        <w:tc>
          <w:tcPr>
            <w:tcW w:type="dxa" w:w="3024"/>
            <w:vAlign w:val="center"/>
          </w:tcPr>
          <w:p>
            <w:r/>
            <w:r>
              <w:rPr>
                <w:b w:val="0"/>
                <w:sz w:val="16"/>
              </w:rPr>
              <w:t>READY FOR OWNER APPROVAL / BLOCKED BY PRODUCT CLARIFICATION / BLOCKED BY AUTHORITY CONFLICT / NEEDS VERIFICATION</w:t>
            </w:r>
          </w:p>
        </w:tc>
      </w:tr>
      <w:tr>
        <w:tc>
          <w:tcPr>
            <w:tcW w:type="dxa" w:w="1656"/>
            <w:vAlign w:val="center"/>
          </w:tcPr>
          <w:p>
            <w:r/>
            <w:r>
              <w:rPr>
                <w:b w:val="0"/>
                <w:sz w:val="16"/>
              </w:rPr>
              <w:t>Implementation plan</w:t>
            </w:r>
          </w:p>
        </w:tc>
        <w:tc>
          <w:tcPr>
            <w:tcW w:type="dxa" w:w="2376"/>
            <w:vAlign w:val="center"/>
          </w:tcPr>
          <w:p>
            <w:r/>
            <w:r>
              <w:rPr>
                <w:b w:val="0"/>
                <w:sz w:val="16"/>
              </w:rPr>
              <w:t>Owner-approved contract; accepted ADRs; verified required spikes; exact design authority</w:t>
            </w:r>
          </w:p>
        </w:tc>
        <w:tc>
          <w:tcPr>
            <w:tcW w:type="dxa" w:w="2088"/>
            <w:vAlign w:val="center"/>
          </w:tcPr>
          <w:p>
            <w:r/>
            <w:r>
              <w:rPr>
                <w:b w:val="0"/>
                <w:sz w:val="16"/>
              </w:rPr>
              <w:t>IMPLEMENTATION_PLAN.md</w:t>
            </w:r>
          </w:p>
        </w:tc>
        <w:tc>
          <w:tcPr>
            <w:tcW w:type="dxa" w:w="2160"/>
            <w:vAlign w:val="center"/>
          </w:tcPr>
          <w:p>
            <w:r/>
            <w:r>
              <w:rPr>
                <w:b w:val="0"/>
                <w:sz w:val="16"/>
              </w:rPr>
              <w:t>Plan review PASS; owner approval</w:t>
            </w:r>
          </w:p>
        </w:tc>
        <w:tc>
          <w:tcPr>
            <w:tcW w:type="dxa" w:w="3024"/>
            <w:vAlign w:val="center"/>
          </w:tcPr>
          <w:p>
            <w:r/>
            <w:r>
              <w:rPr>
                <w:b w:val="0"/>
                <w:sz w:val="16"/>
              </w:rPr>
              <w:t>READY FOR PLAN REVIEW / BLOCKED BY TECHNICAL DECISION / BLOCKED BY AUTHORITY CONFLICT / NEEDS VERIFICATION</w:t>
            </w:r>
          </w:p>
        </w:tc>
      </w:tr>
      <w:tr>
        <w:tc>
          <w:tcPr>
            <w:tcW w:type="dxa" w:w="1656"/>
            <w:vAlign w:val="center"/>
          </w:tcPr>
          <w:p>
            <w:r/>
            <w:r>
              <w:rPr>
                <w:b w:val="0"/>
                <w:sz w:val="16"/>
              </w:rPr>
              <w:t>Implementation tasks</w:t>
            </w:r>
          </w:p>
        </w:tc>
        <w:tc>
          <w:tcPr>
            <w:tcW w:type="dxa" w:w="2376"/>
            <w:vAlign w:val="center"/>
          </w:tcPr>
          <w:p>
            <w:r/>
            <w:r>
              <w:rPr>
                <w:b w:val="0"/>
                <w:sz w:val="16"/>
              </w:rPr>
              <w:t>Owner-approved contract and plan; plan review PASS</w:t>
            </w:r>
          </w:p>
        </w:tc>
        <w:tc>
          <w:tcPr>
            <w:tcW w:type="dxa" w:w="2088"/>
            <w:vAlign w:val="center"/>
          </w:tcPr>
          <w:p>
            <w:r/>
            <w:r>
              <w:rPr>
                <w:b w:val="0"/>
                <w:sz w:val="16"/>
              </w:rPr>
              <w:t>IMPLEMENTATION_TASKS.md</w:t>
            </w:r>
          </w:p>
        </w:tc>
        <w:tc>
          <w:tcPr>
            <w:tcW w:type="dxa" w:w="2160"/>
            <w:vAlign w:val="center"/>
          </w:tcPr>
          <w:p>
            <w:r/>
            <w:r>
              <w:rPr>
                <w:b w:val="0"/>
                <w:sz w:val="16"/>
              </w:rPr>
              <w:t>Task review PASS; owner approval</w:t>
            </w:r>
          </w:p>
        </w:tc>
        <w:tc>
          <w:tcPr>
            <w:tcW w:type="dxa" w:w="3024"/>
            <w:vAlign w:val="center"/>
          </w:tcPr>
          <w:p>
            <w:r/>
            <w:r>
              <w:rPr>
                <w:b w:val="0"/>
                <w:sz w:val="16"/>
              </w:rPr>
              <w:t>READY FOR TASK REVIEW / BLOCKED BY PLAN ISSUE / BLOCKED BY AUTHORITY CONFLICT / NEEDS VERIFICATION</w:t>
            </w:r>
          </w:p>
        </w:tc>
      </w:tr>
      <w:tr>
        <w:tc>
          <w:tcPr>
            <w:tcW w:type="dxa" w:w="1656"/>
            <w:vAlign w:val="center"/>
          </w:tcPr>
          <w:p>
            <w:r/>
            <w:r>
              <w:rPr>
                <w:b w:val="0"/>
                <w:sz w:val="16"/>
              </w:rPr>
              <w:t>Implementation readiness</w:t>
            </w:r>
          </w:p>
        </w:tc>
        <w:tc>
          <w:tcPr>
            <w:tcW w:type="dxa" w:w="2376"/>
            <w:vAlign w:val="center"/>
          </w:tcPr>
          <w:p>
            <w:r/>
            <w:r>
              <w:rPr>
                <w:b w:val="0"/>
                <w:sz w:val="16"/>
              </w:rPr>
              <w:t>Approved contract, plan, tasks; synchronized governance and architecture</w:t>
            </w:r>
          </w:p>
        </w:tc>
        <w:tc>
          <w:tcPr>
            <w:tcW w:type="dxa" w:w="2088"/>
            <w:vAlign w:val="center"/>
          </w:tcPr>
          <w:p>
            <w:r/>
            <w:r>
              <w:rPr>
                <w:b w:val="0"/>
                <w:sz w:val="16"/>
              </w:rPr>
              <w:t>Feature-specific gate execution or readiness record</w:t>
            </w:r>
          </w:p>
        </w:tc>
        <w:tc>
          <w:tcPr>
            <w:tcW w:type="dxa" w:w="2160"/>
            <w:vAlign w:val="center"/>
          </w:tcPr>
          <w:p>
            <w:r/>
            <w:r>
              <w:rPr>
                <w:b w:val="0"/>
                <w:sz w:val="16"/>
              </w:rPr>
              <w:t>Every applicable gate PASS or owner-authorized N/A</w:t>
            </w:r>
          </w:p>
        </w:tc>
        <w:tc>
          <w:tcPr>
            <w:tcW w:type="dxa" w:w="3024"/>
            <w:vAlign w:val="center"/>
          </w:tcPr>
          <w:p>
            <w:r/>
            <w:r>
              <w:rPr>
                <w:b w:val="0"/>
                <w:sz w:val="16"/>
              </w:rPr>
              <w:t>READY / BLOCKED / NEEDS VERIFICATION</w:t>
            </w:r>
          </w:p>
        </w:tc>
      </w:tr>
      <w:tr>
        <w:tc>
          <w:tcPr>
            <w:tcW w:type="dxa" w:w="2033"/>
          </w:tcPr>
          <w:p>
            <w:r>
              <w:t>Bounded implementation</w:t>
            </w:r>
          </w:p>
        </w:tc>
        <w:tc>
          <w:tcPr>
            <w:tcW w:type="dxa" w:w="2033"/>
          </w:tcPr>
          <w:p>
            <w:r>
              <w:t>Explicit owner authorization for exact task IDs; approved contract/plan/tasks; current readiness audit</w:t>
            </w:r>
          </w:p>
        </w:tc>
        <w:tc>
          <w:tcPr>
            <w:tcW w:type="dxa" w:w="2033"/>
          </w:tcPr>
          <w:p>
            <w:r>
              <w:t>Production changes plus task-local tests/evidence and updated task status/evidence references</w:t>
            </w:r>
          </w:p>
        </w:tc>
        <w:tc>
          <w:tcPr>
            <w:tcW w:type="dxa" w:w="2033"/>
          </w:tcPr>
          <w:p>
            <w:r>
              <w:t>Selected task completion gates satisfied; stop at authorized boundary</w:t>
            </w:r>
          </w:p>
        </w:tc>
        <w:tc>
          <w:tcPr>
            <w:tcW w:type="dxa" w:w="2033"/>
          </w:tcPr>
          <w:p>
            <w:r>
              <w:t>TASK GROUP IMPLEMENTED / TASK GROUP PARTIALLY IMPLEMENTED / BLOCKED BY AUTHORITY OR SCOPE / BLOCKED BY DEPENDENCY / BLOCKED BY IMPLEMENTATION DEFECT / BLOCKED BY PROTECTED BOUNDARY / BLOCKED BY MISSING EVIDENCE / NEEDS OWNER DECISION / NEEDS VERIFICATION</w:t>
            </w:r>
          </w:p>
        </w:tc>
      </w:tr>
      <w:tr>
        <w:tc>
          <w:tcPr>
            <w:tcW w:type="dxa" w:w="1656"/>
            <w:vAlign w:val="center"/>
          </w:tcPr>
          <w:p>
            <w:r/>
            <w:r>
              <w:rPr>
                <w:b w:val="0"/>
                <w:sz w:val="16"/>
              </w:rPr>
              <w:t>Implementation convergence</w:t>
            </w:r>
          </w:p>
        </w:tc>
        <w:tc>
          <w:tcPr>
            <w:tcW w:type="dxa" w:w="2376"/>
            <w:vAlign w:val="center"/>
          </w:tcPr>
          <w:p>
            <w:r/>
            <w:r>
              <w:rPr>
                <w:b w:val="0"/>
                <w:sz w:val="16"/>
              </w:rPr>
              <w:t>Authorized implementation, completed tasks, actual test/runtime evidence, complete diff</w:t>
            </w:r>
          </w:p>
        </w:tc>
        <w:tc>
          <w:tcPr>
            <w:tcW w:type="dxa" w:w="2088"/>
            <w:vAlign w:val="center"/>
          </w:tcPr>
          <w:p>
            <w:r/>
            <w:r>
              <w:rPr>
                <w:b w:val="0"/>
                <w:sz w:val="16"/>
              </w:rPr>
              <w:t>READINESS_REPORT.md</w:t>
            </w:r>
          </w:p>
        </w:tc>
        <w:tc>
          <w:tcPr>
            <w:tcW w:type="dxa" w:w="2160"/>
            <w:vAlign w:val="center"/>
          </w:tcPr>
          <w:p>
            <w:r/>
            <w:r>
              <w:rPr>
                <w:b w:val="0"/>
                <w:sz w:val="16"/>
              </w:rPr>
              <w:t>Convergence checks complete</w:t>
            </w:r>
          </w:p>
        </w:tc>
        <w:tc>
          <w:tcPr>
            <w:tcW w:type="dxa" w:w="3024"/>
            <w:vAlign w:val="center"/>
          </w:tcPr>
          <w:p>
            <w:r>
              <w:t>READY FOR FINAL READINESS / READY FOR FEATURE READINESS REVIEW / BLOCKED BY IMPLEMENTATION DEFECT / BLOCKED BY ARCHITECTURE DRIFT / BLOCKED BY SCOPE DRIFT / BLOCKED BY CI / BLOCKED BY MISSING EVIDENCE / BLOCKED BY DOCUMENTATION SYNC / BLOCKED BY REPOSITORY STATE / NEEDS OWNER DECISION / NEEDS VERIFICATION</w:t>
            </w:r>
          </w:p>
        </w:tc>
      </w:tr>
      <w:tr>
        <w:tc>
          <w:tcPr>
            <w:tcW w:type="dxa" w:w="1656"/>
            <w:vAlign w:val="center"/>
          </w:tcPr>
          <w:p>
            <w:r>
              <w:t>Final readiness evidence</w:t>
            </w:r>
          </w:p>
        </w:tc>
        <w:tc>
          <w:tcPr>
            <w:tcW w:type="dxa" w:w="2376"/>
            <w:vAlign w:val="center"/>
          </w:tcPr>
          <w:p>
            <w:r>
              <w:t>READINESS_REPORT.md with deferred FINAL-READINESS obligations</w:t>
            </w:r>
          </w:p>
        </w:tc>
        <w:tc>
          <w:tcPr>
            <w:tcW w:type="dxa" w:w="2088"/>
            <w:vAlign w:val="center"/>
          </w:tcPr>
          <w:p>
            <w:r>
              <w:t>Updated READINESS_REPORT.md plus manual/device/platform artifacts</w:t>
            </w:r>
          </w:p>
        </w:tc>
        <w:tc>
          <w:tcPr>
            <w:tcW w:type="dxa" w:w="2160"/>
            <w:vAlign w:val="center"/>
          </w:tcPr>
          <w:p>
            <w:r>
              <w:t>Every applicable deferred obligation passed or owner-authorized N/A</w:t>
            </w:r>
          </w:p>
        </w:tc>
        <w:tc>
          <w:tcPr>
            <w:tcW w:type="dxa" w:w="3024"/>
            <w:vAlign w:val="center"/>
          </w:tcPr>
          <w:p>
            <w:r>
              <w:t>READY FOR FEATURE READINESS REVIEW / BLOCKED BY MISSING EVIDENCE / NEEDS VERIFICATION</w:t>
            </w:r>
          </w:p>
        </w:tc>
      </w:tr>
      <w:tr>
        <w:tc>
          <w:tcPr>
            <w:tcW w:type="dxa" w:w="1656"/>
            <w:vAlign w:val="center"/>
          </w:tcPr>
          <w:p>
            <w:r/>
            <w:r>
              <w:rPr>
                <w:b w:val="0"/>
                <w:sz w:val="16"/>
              </w:rPr>
              <w:t>Feature readiness review</w:t>
            </w:r>
          </w:p>
        </w:tc>
        <w:tc>
          <w:tcPr>
            <w:tcW w:type="dxa" w:w="2376"/>
            <w:vAlign w:val="center"/>
          </w:tcPr>
          <w:p>
            <w:r/>
            <w:r>
              <w:rPr>
                <w:b w:val="0"/>
                <w:sz w:val="16"/>
              </w:rPr>
              <w:t>Convergence report, source diff, current evidence, synchronized documents</w:t>
            </w:r>
          </w:p>
        </w:tc>
        <w:tc>
          <w:tcPr>
            <w:tcW w:type="dxa" w:w="2088"/>
            <w:vAlign w:val="center"/>
          </w:tcPr>
          <w:p>
            <w:r/>
            <w:r>
              <w:rPr>
                <w:b w:val="0"/>
                <w:sz w:val="16"/>
              </w:rPr>
              <w:t>Independent readiness review record</w:t>
            </w:r>
          </w:p>
        </w:tc>
        <w:tc>
          <w:tcPr>
            <w:tcW w:type="dxa" w:w="2160"/>
            <w:vAlign w:val="center"/>
          </w:tcPr>
          <w:p>
            <w:r/>
            <w:r>
              <w:rPr>
                <w:b w:val="0"/>
                <w:sz w:val="16"/>
              </w:rPr>
              <w:t>Review PASS</w:t>
            </w:r>
          </w:p>
        </w:tc>
        <w:tc>
          <w:tcPr>
            <w:tcW w:type="dxa" w:w="3024"/>
            <w:vAlign w:val="center"/>
          </w:tcPr>
          <w:p>
            <w:r/>
            <w:r>
              <w:rPr>
                <w:b w:val="0"/>
                <w:sz w:val="16"/>
              </w:rPr>
              <w:t>PASS / FAIL / BLOCKED / NEEDS OWNER DECISION / NEEDS VERIFICATION</w:t>
            </w:r>
          </w:p>
        </w:tc>
      </w:tr>
      <w:tr>
        <w:tc>
          <w:tcPr>
            <w:tcW w:type="dxa" w:w="1656"/>
            <w:vAlign w:val="center"/>
          </w:tcPr>
          <w:p>
            <w:r/>
            <w:r>
              <w:rPr>
                <w:b w:val="0"/>
                <w:sz w:val="16"/>
              </w:rPr>
              <w:t>Owner feature acceptance</w:t>
            </w:r>
          </w:p>
        </w:tc>
        <w:tc>
          <w:tcPr>
            <w:tcW w:type="dxa" w:w="2376"/>
            <w:vAlign w:val="center"/>
          </w:tcPr>
          <w:p>
            <w:r/>
            <w:r>
              <w:rPr>
                <w:b w:val="0"/>
                <w:sz w:val="16"/>
              </w:rPr>
              <w:t>Readiness review PASS</w:t>
            </w:r>
          </w:p>
        </w:tc>
        <w:tc>
          <w:tcPr>
            <w:tcW w:type="dxa" w:w="2088"/>
            <w:vAlign w:val="center"/>
          </w:tcPr>
          <w:p>
            <w:r/>
            <w:r>
              <w:rPr>
                <w:b w:val="0"/>
                <w:sz w:val="16"/>
              </w:rPr>
              <w:t>Owner acceptance record</w:t>
            </w:r>
          </w:p>
        </w:tc>
        <w:tc>
          <w:tcPr>
            <w:tcW w:type="dxa" w:w="2160"/>
            <w:vAlign w:val="center"/>
          </w:tcPr>
          <w:p>
            <w:r/>
            <w:r>
              <w:rPr>
                <w:b w:val="0"/>
                <w:sz w:val="16"/>
              </w:rPr>
              <w:t>Owner decision</w:t>
            </w:r>
          </w:p>
        </w:tc>
        <w:tc>
          <w:tcPr>
            <w:tcW w:type="dxa" w:w="3024"/>
            <w:vAlign w:val="center"/>
          </w:tcPr>
          <w:p>
            <w:r/>
            <w:r>
              <w:rPr>
                <w:b w:val="0"/>
                <w:sz w:val="16"/>
              </w:rPr>
              <w:t>ACCEPTED / RETURNED FOR CORRECTION / DEFERRED</w:t>
            </w:r>
          </w:p>
        </w:tc>
      </w:tr>
      <w:tr>
        <w:tc>
          <w:tcPr>
            <w:tcW w:type="dxa" w:w="1656"/>
            <w:vAlign w:val="center"/>
          </w:tcPr>
          <w:p>
            <w:r/>
            <w:r>
              <w:rPr>
                <w:b w:val="0"/>
                <w:sz w:val="16"/>
              </w:rPr>
              <w:t>Release</w:t>
            </w:r>
          </w:p>
        </w:tc>
        <w:tc>
          <w:tcPr>
            <w:tcW w:type="dxa" w:w="2376"/>
            <w:vAlign w:val="center"/>
          </w:tcPr>
          <w:p>
            <w:r/>
            <w:r>
              <w:rPr>
                <w:b w:val="0"/>
                <w:sz w:val="16"/>
              </w:rPr>
              <w:t>Owner-accepted feature and explicit release authorization</w:t>
            </w:r>
          </w:p>
        </w:tc>
        <w:tc>
          <w:tcPr>
            <w:tcW w:type="dxa" w:w="2088"/>
            <w:vAlign w:val="center"/>
          </w:tcPr>
          <w:p>
            <w:r/>
            <w:r>
              <w:rPr>
                <w:b w:val="0"/>
                <w:sz w:val="16"/>
              </w:rPr>
              <w:t>Release evidence and record</w:t>
            </w:r>
          </w:p>
        </w:tc>
        <w:tc>
          <w:tcPr>
            <w:tcW w:type="dxa" w:w="2160"/>
            <w:vAlign w:val="center"/>
          </w:tcPr>
          <w:p>
            <w:r/>
            <w:r>
              <w:rPr>
                <w:b w:val="0"/>
                <w:sz w:val="16"/>
              </w:rPr>
              <w:t>Archive, signing, privacy, distribution, rollout evidence</w:t>
            </w:r>
          </w:p>
        </w:tc>
        <w:tc>
          <w:tcPr>
            <w:tcW w:type="dxa" w:w="3024"/>
            <w:vAlign w:val="center"/>
          </w:tcPr>
          <w:p>
            <w:r/>
            <w:r>
              <w:rPr>
                <w:b w:val="0"/>
                <w:sz w:val="16"/>
              </w:rPr>
              <w:t>RELEASED / BLOCKED / ROLLED BACK / NEEDS VERIFICATION</w:t>
            </w:r>
          </w:p>
        </w:tc>
      </w:tr>
    </w:tbl>
    <w:p/>
    <w:p>
      <w:pPr>
        <w:pStyle w:val="Heading1"/>
      </w:pPr>
      <w:r>
        <w:t>6. Cross-Cutting Quality Controls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F4E78"/>
          </w:tcPr>
          <w:p>
            <w:r/>
            <w:r>
              <w:rPr>
                <w:b/>
                <w:color w:val="FFFFFF"/>
                <w:sz w:val="16"/>
              </w:rPr>
              <w:t>Control</w:t>
            </w:r>
          </w:p>
        </w:tc>
        <w:tc>
          <w:tcPr>
            <w:tcW w:type="dxa" w:w="8064"/>
            <w:vAlign w:val="center"/>
            <w:shd w:fill="1F4E78"/>
          </w:tcPr>
          <w:p>
            <w:r/>
            <w:r>
              <w:rPr>
                <w:b/>
                <w:color w:val="FFFFFF"/>
                <w:sz w:val="16"/>
              </w:rPr>
              <w:t>Pipeline rule</w:t>
            </w:r>
          </w:p>
        </w:tc>
      </w:tr>
      <w:tr>
        <w:tc>
          <w:tcPr>
            <w:tcW w:type="dxa" w:w="2448"/>
            <w:vAlign w:val="center"/>
          </w:tcPr>
          <w:p>
            <w:r/>
            <w:r>
              <w:rPr>
                <w:b w:val="0"/>
                <w:sz w:val="16"/>
              </w:rPr>
              <w:t>Scope fidelity</w:t>
            </w:r>
          </w:p>
        </w:tc>
        <w:tc>
          <w:tcPr>
            <w:tcW w:type="dxa" w:w="8064"/>
            <w:vAlign w:val="center"/>
          </w:tcPr>
          <w:p>
            <w:r/>
            <w:r>
              <w:rPr>
                <w:b w:val="0"/>
                <w:sz w:val="16"/>
              </w:rPr>
              <w:t>No later-feature behavior, unsupported product rule, invented validation, or design-only copy is promoted.</w:t>
            </w:r>
          </w:p>
        </w:tc>
      </w:tr>
      <w:tr>
        <w:tc>
          <w:tcPr>
            <w:tcW w:type="dxa" w:w="2448"/>
            <w:vAlign w:val="center"/>
          </w:tcPr>
          <w:p>
            <w:r/>
            <w:r>
              <w:rPr>
                <w:b w:val="0"/>
                <w:sz w:val="16"/>
              </w:rPr>
              <w:t>Architecture</w:t>
            </w:r>
          </w:p>
        </w:tc>
        <w:tc>
          <w:tcPr>
            <w:tcW w:type="dxa" w:w="8064"/>
            <w:vAlign w:val="center"/>
          </w:tcPr>
          <w:p>
            <w:r/>
            <w:r>
              <w:rPr>
                <w:b w:val="0"/>
                <w:sz w:val="16"/>
              </w:rPr>
              <w:t>Accepted module/target boundaries, dependency direction, composition, state ownership, concurrency, navigation, persistence, and lifecycle remain intact.</w:t>
            </w:r>
          </w:p>
        </w:tc>
      </w:tr>
      <w:tr>
        <w:tc>
          <w:tcPr>
            <w:tcW w:type="dxa" w:w="2448"/>
            <w:vAlign w:val="center"/>
          </w:tcPr>
          <w:p>
            <w:r/>
            <w:r>
              <w:rPr>
                <w:b w:val="0"/>
                <w:sz w:val="16"/>
              </w:rPr>
              <w:t>Localization and RTL</w:t>
            </w:r>
          </w:p>
        </w:tc>
        <w:tc>
          <w:tcPr>
            <w:tcW w:type="dxa" w:w="8064"/>
            <w:vAlign w:val="center"/>
          </w:tcPr>
          <w:p>
            <w:r/>
            <w:r>
              <w:rPr>
                <w:b w:val="0"/>
                <w:sz w:val="16"/>
              </w:rPr>
              <w:t>All user-facing and accessibility-facing strings are localizable; approved RTL locales run correctly; formatting is locale-aware; fragment concatenation is prohibited.</w:t>
            </w:r>
          </w:p>
        </w:tc>
      </w:tr>
      <w:tr>
        <w:tc>
          <w:tcPr>
            <w:tcW w:type="dxa" w:w="2448"/>
            <w:vAlign w:val="center"/>
          </w:tcPr>
          <w:p>
            <w:r/>
            <w:r>
              <w:rPr>
                <w:b w:val="0"/>
                <w:sz w:val="16"/>
              </w:rPr>
              <w:t>Accessibility</w:t>
            </w:r>
          </w:p>
        </w:tc>
        <w:tc>
          <w:tcPr>
            <w:tcW w:type="dxa" w:w="8064"/>
            <w:vAlign w:val="center"/>
          </w:tcPr>
          <w:p>
            <w:r/>
            <w:r>
              <w:rPr>
                <w:b w:val="0"/>
                <w:sz w:val="16"/>
              </w:rPr>
              <w:t>Screen-reader semantics, focus, text scaling/reflow, non-color differentiation, reduced motion, alternative input, target sizing, and error announcements are runtime verified.</w:t>
            </w:r>
          </w:p>
        </w:tc>
      </w:tr>
      <w:tr>
        <w:tc>
          <w:tcPr>
            <w:tcW w:type="dxa" w:w="2448"/>
            <w:vAlign w:val="center"/>
          </w:tcPr>
          <w:p>
            <w:r/>
            <w:r>
              <w:rPr>
                <w:b w:val="0"/>
                <w:sz w:val="16"/>
              </w:rPr>
              <w:t>Adaptive UI</w:t>
            </w:r>
          </w:p>
        </w:tc>
        <w:tc>
          <w:tcPr>
            <w:tcW w:type="dxa" w:w="8064"/>
            <w:vAlign w:val="center"/>
          </w:tcPr>
          <w:p>
            <w:r/>
            <w:r>
              <w:rPr>
                <w:b w:val="0"/>
                <w:sz w:val="16"/>
              </w:rPr>
              <w:t>Named compact, medium/reduced, expanded, split/multitasking, keyboard/IME, insets/cutouts, and state-preservation scenarios are defined and tested.</w:t>
            </w:r>
          </w:p>
        </w:tc>
      </w:tr>
      <w:tr>
        <w:tc>
          <w:tcPr>
            <w:tcW w:type="dxa" w:w="2448"/>
            <w:vAlign w:val="center"/>
          </w:tcPr>
          <w:p>
            <w:r/>
            <w:r>
              <w:rPr>
                <w:b w:val="0"/>
                <w:sz w:val="16"/>
              </w:rPr>
              <w:t>Persistence integrity</w:t>
            </w:r>
          </w:p>
        </w:tc>
        <w:tc>
          <w:tcPr>
            <w:tcW w:type="dxa" w:w="8064"/>
            <w:vAlign w:val="center"/>
          </w:tcPr>
          <w:p>
            <w:r/>
            <w:r>
              <w:rPr>
                <w:b w:val="0"/>
                <w:sz w:val="16"/>
              </w:rPr>
              <w:t>System of record, migrations, transactions, rollback, logical idempotency, stale-write behavior, relaunch durability, backup/protection, deletion, and test isolation are explicit.</w:t>
            </w:r>
          </w:p>
        </w:tc>
      </w:tr>
      <w:tr>
        <w:tc>
          <w:tcPr>
            <w:tcW w:type="dxa" w:w="2448"/>
            <w:vAlign w:val="center"/>
          </w:tcPr>
          <w:p>
            <w:r/>
            <w:r>
              <w:rPr>
                <w:b w:val="0"/>
                <w:sz w:val="16"/>
              </w:rPr>
              <w:t>Privacy and protected boundaries</w:t>
            </w:r>
          </w:p>
        </w:tc>
        <w:tc>
          <w:tcPr>
            <w:tcW w:type="dxa" w:w="8064"/>
            <w:vAlign w:val="center"/>
          </w:tcPr>
          <w:p>
            <w:r/>
            <w:r>
              <w:rPr>
                <w:b w:val="0"/>
                <w:sz w:val="16"/>
              </w:rPr>
              <w:t>Permissions, capabilities, entitlements, manifests, external transfers, logs, sensitive storage, attestation, signing, and release fail closed without approval.</w:t>
            </w:r>
          </w:p>
        </w:tc>
      </w:tr>
      <w:tr>
        <w:tc>
          <w:tcPr>
            <w:tcW w:type="dxa" w:w="2448"/>
            <w:vAlign w:val="center"/>
          </w:tcPr>
          <w:p>
            <w:r/>
            <w:r>
              <w:rPr>
                <w:b w:val="0"/>
                <w:sz w:val="16"/>
              </w:rPr>
              <w:t>Production integrity</w:t>
            </w:r>
          </w:p>
        </w:tc>
        <w:tc>
          <w:tcPr>
            <w:tcW w:type="dxa" w:w="8064"/>
            <w:vAlign w:val="center"/>
          </w:tcPr>
          <w:p>
            <w:r/>
            <w:r>
              <w:rPr>
                <w:b w:val="0"/>
                <w:sz w:val="16"/>
              </w:rPr>
              <w:t>Release composition contains no mocks, previews, fake repositories, no-op migrations/workers, debug bypasses, fixed success values, or silent fake fallback.</w:t>
            </w:r>
          </w:p>
        </w:tc>
      </w:tr>
      <w:tr>
        <w:tc>
          <w:tcPr>
            <w:tcW w:type="dxa" w:w="2448"/>
            <w:vAlign w:val="center"/>
          </w:tcPr>
          <w:p>
            <w:r/>
            <w:r>
              <w:rPr>
                <w:b w:val="0"/>
                <w:sz w:val="16"/>
              </w:rPr>
              <w:t>Evidence</w:t>
            </w:r>
          </w:p>
        </w:tc>
        <w:tc>
          <w:tcPr>
            <w:tcW w:type="dxa" w:w="8064"/>
            <w:vAlign w:val="center"/>
          </w:tcPr>
          <w:p>
            <w:r>
              <w:t>Use correct evidence class and timing; reuse valid artifacts; prefer compact summaries; automate correctness and use manual representative validation for subjective/device-only claims.</w:t>
            </w:r>
          </w:p>
        </w:tc>
      </w:tr>
      <w:tr>
        <w:tc>
          <w:tcPr>
            <w:tcW w:type="dxa" w:w="2448"/>
            <w:vAlign w:val="center"/>
          </w:tcPr>
          <w:p>
            <w:r/>
            <w:r>
              <w:rPr>
                <w:b w:val="0"/>
                <w:sz w:val="16"/>
              </w:rPr>
              <w:t>Documentation</w:t>
            </w:r>
          </w:p>
        </w:tc>
        <w:tc>
          <w:tcPr>
            <w:tcW w:type="dxa" w:w="8064"/>
            <w:vAlign w:val="center"/>
          </w:tcPr>
          <w:p>
            <w:r/>
            <w:r>
              <w:rPr>
                <w:b w:val="0"/>
                <w:sz w:val="16"/>
              </w:rPr>
              <w:t>Current facts, decisions, proposals, evidence limits, approvals, authorization, and historical status remain synchronized and honest.</w:t>
            </w:r>
          </w:p>
        </w:tc>
      </w:tr>
    </w:tbl>
    <w:p/>
    <w:p>
      <w:pPr>
        <w:pStyle w:val="Heading1"/>
      </w:pPr>
      <w:r>
        <w:t>7. Android and iOS Platform Overlays</w:t>
      </w:r>
    </w:p>
    <w:p>
      <w:r>
        <w:t>The lifecycle and artifact chain are shared. Platform overlays supply the exact architecture, tooling, runtime, accessibility, build, and evidence rules.</w:t>
      </w:r>
    </w:p>
    <w:tbl>
      <w:tblPr>
        <w:tblStyle w:val="TableGrid"/>
        <w:tblW w:type="auto" w:w="0"/>
        <w:jc w:val="center"/>
        <w:tblLook w:firstColumn="1" w:firstRow="1" w:lastColumn="0" w:lastRow="0" w:noHBand="0" w:noVBand="1" w:val="04A0"/>
      </w:tblPr>
      <w:tblGrid>
        <w:gridCol w:w="3389"/>
        <w:gridCol w:w="3389"/>
        <w:gridCol w:w="3389"/>
      </w:tblGrid>
      <w:tr>
        <w:tc>
          <w:tcPr>
            <w:tcW w:type="dxa" w:w="1872"/>
            <w:vAlign w:val="center"/>
            <w:shd w:fill="1F4E78"/>
          </w:tcPr>
          <w:p>
            <w:r/>
            <w:r>
              <w:rPr>
                <w:b/>
                <w:color w:val="FFFFFF"/>
                <w:sz w:val="16"/>
              </w:rPr>
              <w:t>Concern</w:t>
            </w:r>
          </w:p>
        </w:tc>
        <w:tc>
          <w:tcPr>
            <w:tcW w:type="dxa" w:w="4320"/>
            <w:vAlign w:val="center"/>
            <w:shd w:fill="1F4E78"/>
          </w:tcPr>
          <w:p>
            <w:r/>
            <w:r>
              <w:rPr>
                <w:b/>
                <w:color w:val="FFFFFF"/>
                <w:sz w:val="16"/>
              </w:rPr>
              <w:t>Android overlay</w:t>
            </w:r>
          </w:p>
        </w:tc>
        <w:tc>
          <w:tcPr>
            <w:tcW w:type="dxa" w:w="4320"/>
            <w:vAlign w:val="center"/>
            <w:shd w:fill="1F4E78"/>
          </w:tcPr>
          <w:p>
            <w:r/>
            <w:r>
              <w:rPr>
                <w:b/>
                <w:color w:val="FFFFFF"/>
                <w:sz w:val="16"/>
              </w:rPr>
              <w:t>iOS overlay</w:t>
            </w:r>
          </w:p>
        </w:tc>
      </w:tr>
      <w:tr>
        <w:tc>
          <w:tcPr>
            <w:tcW w:type="dxa" w:w="1872"/>
            <w:vAlign w:val="center"/>
          </w:tcPr>
          <w:p>
            <w:r/>
            <w:r>
              <w:rPr>
                <w:b w:val="0"/>
                <w:sz w:val="16"/>
              </w:rPr>
              <w:t>Toolchain</w:t>
            </w:r>
          </w:p>
        </w:tc>
        <w:tc>
          <w:tcPr>
            <w:tcW w:type="dxa" w:w="4320"/>
            <w:vAlign w:val="center"/>
          </w:tcPr>
          <w:p>
            <w:r/>
            <w:r>
              <w:rPr>
                <w:b w:val="0"/>
                <w:sz w:val="16"/>
              </w:rPr>
              <w:t>Android Studio, AGP, Gradle, Kotlin, JDK, compile/target/min SDK, build variants</w:t>
            </w:r>
          </w:p>
        </w:tc>
        <w:tc>
          <w:tcPr>
            <w:tcW w:type="dxa" w:w="4320"/>
            <w:vAlign w:val="center"/>
          </w:tcPr>
          <w:p>
            <w:r/>
            <w:r>
              <w:rPr>
                <w:b w:val="0"/>
                <w:sz w:val="16"/>
              </w:rPr>
              <w:t>Xcode, Swift, SDK, deployment target, schemes, build configurations</w:t>
            </w:r>
          </w:p>
        </w:tc>
      </w:tr>
      <w:tr>
        <w:tc>
          <w:tcPr>
            <w:tcW w:type="dxa" w:w="1872"/>
            <w:vAlign w:val="center"/>
          </w:tcPr>
          <w:p>
            <w:r/>
            <w:r>
              <w:rPr>
                <w:b w:val="0"/>
                <w:sz w:val="16"/>
              </w:rPr>
              <w:t>UI</w:t>
            </w:r>
          </w:p>
        </w:tc>
        <w:tc>
          <w:tcPr>
            <w:tcW w:type="dxa" w:w="4320"/>
            <w:vAlign w:val="center"/>
          </w:tcPr>
          <w:p>
            <w:r/>
            <w:r>
              <w:rPr>
                <w:b w:val="0"/>
                <w:sz w:val="16"/>
              </w:rPr>
              <w:t>Compose, Views, or hybrid; route/content split; previews; no side effects during composition</w:t>
            </w:r>
          </w:p>
        </w:tc>
        <w:tc>
          <w:tcPr>
            <w:tcW w:type="dxa" w:w="4320"/>
            <w:vAlign w:val="center"/>
          </w:tcPr>
          <w:p>
            <w:r/>
            <w:r>
              <w:rPr>
                <w:b w:val="0"/>
                <w:sz w:val="16"/>
              </w:rPr>
              <w:t>SwiftUI, UIKit, or hybrid; route/content split; previews; no side effects in body/controller lifecycle</w:t>
            </w:r>
          </w:p>
        </w:tc>
      </w:tr>
      <w:tr>
        <w:tc>
          <w:tcPr>
            <w:tcW w:type="dxa" w:w="1872"/>
            <w:vAlign w:val="center"/>
          </w:tcPr>
          <w:p>
            <w:r/>
            <w:r>
              <w:rPr>
                <w:b w:val="0"/>
                <w:sz w:val="16"/>
              </w:rPr>
              <w:t>Presentation state</w:t>
            </w:r>
          </w:p>
        </w:tc>
        <w:tc>
          <w:tcPr>
            <w:tcW w:type="dxa" w:w="4320"/>
            <w:vAlign w:val="center"/>
          </w:tcPr>
          <w:p>
            <w:r/>
            <w:r>
              <w:rPr>
                <w:b w:val="0"/>
                <w:sz w:val="16"/>
              </w:rPr>
              <w:t>Lifecycle-aware ViewModel or approved state owner; immutable UI state; StateFlow; SavedStateHandle rules</w:t>
            </w:r>
          </w:p>
        </w:tc>
        <w:tc>
          <w:tcPr>
            <w:tcW w:type="dxa" w:w="4320"/>
            <w:vAlign w:val="center"/>
          </w:tcPr>
          <w:p>
            <w:r/>
            <w:r>
              <w:rPr>
                <w:b w:val="0"/>
                <w:sz w:val="16"/>
              </w:rPr>
              <w:t>@Observable or approved state holder; MainActor UI ownership; durable reconstruction</w:t>
            </w:r>
          </w:p>
        </w:tc>
      </w:tr>
      <w:tr>
        <w:tc>
          <w:tcPr>
            <w:tcW w:type="dxa" w:w="1872"/>
            <w:vAlign w:val="center"/>
          </w:tcPr>
          <w:p>
            <w:r/>
            <w:r>
              <w:rPr>
                <w:b w:val="0"/>
                <w:sz w:val="16"/>
              </w:rPr>
              <w:t>Dependency composition</w:t>
            </w:r>
          </w:p>
        </w:tc>
        <w:tc>
          <w:tcPr>
            <w:tcW w:type="dxa" w:w="4320"/>
            <w:vAlign w:val="center"/>
          </w:tcPr>
          <w:p>
            <w:r/>
            <w:r>
              <w:rPr>
                <w:b w:val="0"/>
                <w:sz w:val="16"/>
              </w:rPr>
              <w:t>Hilt/Dagger/Koin/manual composition only if accepted; no service locator</w:t>
            </w:r>
          </w:p>
        </w:tc>
        <w:tc>
          <w:tcPr>
            <w:tcW w:type="dxa" w:w="4320"/>
            <w:vAlign w:val="center"/>
          </w:tcPr>
          <w:p>
            <w:r/>
            <w:r>
              <w:rPr>
                <w:b w:val="0"/>
                <w:sz w:val="16"/>
              </w:rPr>
              <w:t>Swift-native initializer injection or accepted DI; no service locator</w:t>
            </w:r>
          </w:p>
        </w:tc>
      </w:tr>
      <w:tr>
        <w:tc>
          <w:tcPr>
            <w:tcW w:type="dxa" w:w="1872"/>
            <w:vAlign w:val="center"/>
          </w:tcPr>
          <w:p>
            <w:r/>
            <w:r>
              <w:rPr>
                <w:b w:val="0"/>
                <w:sz w:val="16"/>
              </w:rPr>
              <w:t>Concurrency</w:t>
            </w:r>
          </w:p>
        </w:tc>
        <w:tc>
          <w:tcPr>
            <w:tcW w:type="dxa" w:w="4320"/>
            <w:vAlign w:val="center"/>
          </w:tcPr>
          <w:p>
            <w:r/>
            <w:r>
              <w:rPr>
                <w:b w:val="0"/>
                <w:sz w:val="16"/>
              </w:rPr>
              <w:t>Structured coroutines, Flow lifecycle, dispatcher ownership, cancellation, no GlobalScope</w:t>
            </w:r>
          </w:p>
        </w:tc>
        <w:tc>
          <w:tcPr>
            <w:tcW w:type="dxa" w:w="4320"/>
            <w:vAlign w:val="center"/>
          </w:tcPr>
          <w:p>
            <w:r/>
            <w:r>
              <w:rPr>
                <w:b w:val="0"/>
                <w:sz w:val="16"/>
              </w:rPr>
              <w:t>Structured Swift concurrency, actor isolation, Sendable, cancellation, no unowned detached tasks</w:t>
            </w:r>
          </w:p>
        </w:tc>
      </w:tr>
      <w:tr>
        <w:tc>
          <w:tcPr>
            <w:tcW w:type="dxa" w:w="1872"/>
            <w:vAlign w:val="center"/>
          </w:tcPr>
          <w:p>
            <w:r/>
            <w:r>
              <w:rPr>
                <w:b w:val="0"/>
                <w:sz w:val="16"/>
              </w:rPr>
              <w:t>Adaptive runtime</w:t>
            </w:r>
          </w:p>
        </w:tc>
        <w:tc>
          <w:tcPr>
            <w:tcW w:type="dxa" w:w="4320"/>
            <w:vAlign w:val="center"/>
          </w:tcPr>
          <w:p>
            <w:r/>
            <w:r>
              <w:rPr>
                <w:b w:val="0"/>
                <w:sz w:val="16"/>
              </w:rPr>
              <w:t>Window size classes, split/freeform, foldables/posture, IME, edge-to-edge, cutouts, ChromeOS when in scope</w:t>
            </w:r>
          </w:p>
        </w:tc>
        <w:tc>
          <w:tcPr>
            <w:tcW w:type="dxa" w:w="4320"/>
            <w:vAlign w:val="center"/>
          </w:tcPr>
          <w:p>
            <w:r/>
            <w:r>
              <w:rPr>
                <w:b w:val="0"/>
                <w:sz w:val="16"/>
              </w:rPr>
              <w:t>Size classes, iPad multitasking, Stage Manager when evidenced, keyboard, safe areas, sheets/popovers</w:t>
            </w:r>
          </w:p>
        </w:tc>
      </w:tr>
      <w:tr>
        <w:tc>
          <w:tcPr>
            <w:tcW w:type="dxa" w:w="1872"/>
            <w:vAlign w:val="center"/>
          </w:tcPr>
          <w:p>
            <w:r/>
            <w:r>
              <w:rPr>
                <w:b w:val="0"/>
                <w:sz w:val="16"/>
              </w:rPr>
              <w:t>Accessibility</w:t>
            </w:r>
          </w:p>
        </w:tc>
        <w:tc>
          <w:tcPr>
            <w:tcW w:type="dxa" w:w="4320"/>
            <w:vAlign w:val="center"/>
          </w:tcPr>
          <w:p>
            <w:r/>
            <w:r>
              <w:rPr>
                <w:b w:val="0"/>
                <w:sz w:val="16"/>
              </w:rPr>
              <w:t>TalkBack, Switch Access, Voice Access, keyboard/D-pad, font/display scaling, animation and color settings</w:t>
            </w:r>
          </w:p>
        </w:tc>
        <w:tc>
          <w:tcPr>
            <w:tcW w:type="dxa" w:w="4320"/>
            <w:vAlign w:val="center"/>
          </w:tcPr>
          <w:p>
            <w:r/>
            <w:r>
              <w:rPr>
                <w:b w:val="0"/>
                <w:sz w:val="16"/>
              </w:rPr>
              <w:t>VoiceOver, Switch Control, Voice Control, Full Keyboard Access, Dynamic Type, Bold Text, Button Shapes, contrast/motion settings</w:t>
            </w:r>
          </w:p>
        </w:tc>
      </w:tr>
      <w:tr>
        <w:tc>
          <w:tcPr>
            <w:tcW w:type="dxa" w:w="1872"/>
            <w:vAlign w:val="center"/>
          </w:tcPr>
          <w:p>
            <w:r/>
            <w:r>
              <w:rPr>
                <w:b w:val="0"/>
                <w:sz w:val="16"/>
              </w:rPr>
              <w:t>Persistence</w:t>
            </w:r>
          </w:p>
        </w:tc>
        <w:tc>
          <w:tcPr>
            <w:tcW w:type="dxa" w:w="4320"/>
            <w:vAlign w:val="center"/>
          </w:tcPr>
          <w:p>
            <w:r/>
            <w:r>
              <w:rPr>
                <w:b w:val="0"/>
                <w:sz w:val="16"/>
              </w:rPr>
              <w:t>Room/DataStore/files/approved engine; schema export/migrations; process-death/relaunch</w:t>
            </w:r>
          </w:p>
        </w:tc>
        <w:tc>
          <w:tcPr>
            <w:tcW w:type="dxa" w:w="4320"/>
            <w:vAlign w:val="center"/>
          </w:tcPr>
          <w:p>
            <w:r/>
            <w:r>
              <w:rPr>
                <w:b w:val="0"/>
                <w:sz w:val="16"/>
              </w:rPr>
              <w:t>SwiftData/Core Data/files/approved engine; model versions/migrations; process termination/relaunch</w:t>
            </w:r>
          </w:p>
        </w:tc>
      </w:tr>
      <w:tr>
        <w:tc>
          <w:tcPr>
            <w:tcW w:type="dxa" w:w="1872"/>
            <w:vAlign w:val="center"/>
          </w:tcPr>
          <w:p>
            <w:r/>
            <w:r>
              <w:rPr>
                <w:b w:val="0"/>
                <w:sz w:val="16"/>
              </w:rPr>
              <w:t>Protected boundaries</w:t>
            </w:r>
          </w:p>
        </w:tc>
        <w:tc>
          <w:tcPr>
            <w:tcW w:type="dxa" w:w="4320"/>
            <w:vAlign w:val="center"/>
          </w:tcPr>
          <w:p>
            <w:r/>
            <w:r>
              <w:rPr>
                <w:b w:val="0"/>
                <w:sz w:val="16"/>
              </w:rPr>
              <w:t>Manifest permissions, exported components, foreground services, exact alarms, app links, Health Connect, signing/AAB</w:t>
            </w:r>
          </w:p>
        </w:tc>
        <w:tc>
          <w:tcPr>
            <w:tcW w:type="dxa" w:w="4320"/>
            <w:vAlign w:val="center"/>
          </w:tcPr>
          <w:p>
            <w:r/>
            <w:r>
              <w:rPr>
                <w:b w:val="0"/>
                <w:sz w:val="16"/>
              </w:rPr>
              <w:t>Privacy manifest, Info.plist usage descriptions, entitlements, background modes, universal links, HealthKit/StoreKit, signing/archive</w:t>
            </w:r>
          </w:p>
        </w:tc>
      </w:tr>
      <w:tr>
        <w:tc>
          <w:tcPr>
            <w:tcW w:type="dxa" w:w="1872"/>
            <w:vAlign w:val="center"/>
          </w:tcPr>
          <w:p>
            <w:r/>
            <w:r>
              <w:rPr>
                <w:b w:val="0"/>
                <w:sz w:val="16"/>
              </w:rPr>
              <w:t>Evidence</w:t>
            </w:r>
          </w:p>
        </w:tc>
        <w:tc>
          <w:tcPr>
            <w:tcW w:type="dxa" w:w="4320"/>
            <w:vAlign w:val="center"/>
          </w:tcPr>
          <w:p>
            <w:r/>
            <w:r>
              <w:rPr>
                <w:b w:val="0"/>
                <w:sz w:val="16"/>
              </w:rPr>
              <w:t>Gradle reports, lint, connected tests, emulator/device, APK/AAB and manifest inspection</w:t>
            </w:r>
          </w:p>
        </w:tc>
        <w:tc>
          <w:tcPr>
            <w:tcW w:type="dxa" w:w="4320"/>
            <w:vAlign w:val="center"/>
          </w:tcPr>
          <w:p>
            <w:r>
              <w:t>Use correct evidence class and timing; reuse valid artifacts; prefer compact summaries; automate correctness and use manual representative validation for subjective/device-only claims.</w:t>
            </w:r>
          </w:p>
        </w:tc>
      </w:tr>
    </w:tbl>
    <w:p/>
    <w:p>
      <w:pPr>
        <w:pStyle w:val="Heading1"/>
      </w:pPr>
      <w:r>
        <w:t>8. Evidence and Completion Rules</w:t>
      </w:r>
    </w:p>
    <w:p>
      <w:r>
        <w:t>Evidence classes must remain separate, but execution timing must also be explicit. TASK-CLOSURE proves the bounded task; FEATURE-CONVERGENCE proves cross-task integration once; FINAL-READINESS owns expensive device/manual/security/privacy/performance checks. Use the cheapest sufficient evidence, reuse one valid artifact across multiple verification rows when it truly covers them, and use representative risk-based runtime matrices rather than exhaustive combinations.</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1F4E78"/>
          </w:tcPr>
          <w:p>
            <w:r/>
            <w:r>
              <w:rPr>
                <w:b/>
                <w:color w:val="FFFFFF"/>
                <w:sz w:val="16"/>
              </w:rPr>
              <w:t>Claim</w:t>
            </w:r>
          </w:p>
        </w:tc>
        <w:tc>
          <w:tcPr>
            <w:tcW w:type="dxa" w:w="6912"/>
            <w:vAlign w:val="center"/>
            <w:shd w:fill="1F4E78"/>
          </w:tcPr>
          <w:p>
            <w:r/>
            <w:r>
              <w:rPr>
                <w:b/>
                <w:color w:val="FFFFFF"/>
                <w:sz w:val="16"/>
              </w:rPr>
              <w:t>Minimum suitable evidence</w:t>
            </w:r>
          </w:p>
        </w:tc>
      </w:tr>
      <w:tr>
        <w:tc>
          <w:tcPr>
            <w:tcW w:type="dxa" w:w="3600"/>
            <w:vAlign w:val="center"/>
          </w:tcPr>
          <w:p>
            <w:r/>
            <w:r>
              <w:rPr>
                <w:b w:val="0"/>
                <w:sz w:val="16"/>
              </w:rPr>
              <w:t>Pure business rule or calculation</w:t>
            </w:r>
          </w:p>
        </w:tc>
        <w:tc>
          <w:tcPr>
            <w:tcW w:type="dxa" w:w="6912"/>
            <w:vAlign w:val="center"/>
          </w:tcPr>
          <w:p>
            <w:r/>
            <w:r>
              <w:rPr>
                <w:b w:val="0"/>
                <w:sz w:val="16"/>
              </w:rPr>
              <w:t>Unit or state test</w:t>
            </w:r>
          </w:p>
        </w:tc>
      </w:tr>
      <w:tr>
        <w:tc>
          <w:tcPr>
            <w:tcW w:type="dxa" w:w="3600"/>
            <w:vAlign w:val="center"/>
          </w:tcPr>
          <w:p>
            <w:r/>
            <w:r>
              <w:rPr>
                <w:b w:val="0"/>
                <w:sz w:val="16"/>
              </w:rPr>
              <w:t>Repository transaction/idempotency</w:t>
            </w:r>
          </w:p>
        </w:tc>
        <w:tc>
          <w:tcPr>
            <w:tcW w:type="dxa" w:w="6912"/>
            <w:vAlign w:val="center"/>
          </w:tcPr>
          <w:p>
            <w:r/>
            <w:r>
              <w:rPr>
                <w:b w:val="0"/>
                <w:sz w:val="16"/>
              </w:rPr>
              <w:t>Repository or integration test against the real adapter</w:t>
            </w:r>
          </w:p>
        </w:tc>
      </w:tr>
      <w:tr>
        <w:tc>
          <w:tcPr>
            <w:tcW w:type="dxa" w:w="3600"/>
            <w:vAlign w:val="center"/>
          </w:tcPr>
          <w:p>
            <w:r/>
            <w:r>
              <w:rPr>
                <w:b w:val="0"/>
                <w:sz w:val="16"/>
              </w:rPr>
              <w:t>Migration and recovery</w:t>
            </w:r>
          </w:p>
        </w:tc>
        <w:tc>
          <w:tcPr>
            <w:tcW w:type="dxa" w:w="6912"/>
            <w:vAlign w:val="center"/>
          </w:tcPr>
          <w:p>
            <w:r/>
            <w:r>
              <w:rPr>
                <w:b w:val="0"/>
                <w:sz w:val="16"/>
              </w:rPr>
              <w:t>Disk-backed migration test with representative prior schema/data</w:t>
            </w:r>
          </w:p>
        </w:tc>
      </w:tr>
      <w:tr>
        <w:tc>
          <w:tcPr>
            <w:tcW w:type="dxa" w:w="3600"/>
            <w:vAlign w:val="center"/>
          </w:tcPr>
          <w:p>
            <w:r/>
            <w:r>
              <w:rPr>
                <w:b w:val="0"/>
                <w:sz w:val="16"/>
              </w:rPr>
              <w:t>Relaunch durability</w:t>
            </w:r>
          </w:p>
        </w:tc>
        <w:tc>
          <w:tcPr>
            <w:tcW w:type="dxa" w:w="6912"/>
            <w:vAlign w:val="center"/>
          </w:tcPr>
          <w:p>
            <w:r/>
            <w:r>
              <w:rPr>
                <w:b w:val="0"/>
                <w:sz w:val="16"/>
              </w:rPr>
              <w:t>Real disk-backed process termination/relaunch scenario</w:t>
            </w:r>
          </w:p>
        </w:tc>
      </w:tr>
      <w:tr>
        <w:tc>
          <w:tcPr>
            <w:tcW w:type="dxa" w:w="3600"/>
            <w:vAlign w:val="center"/>
          </w:tcPr>
          <w:p>
            <w:r/>
            <w:r>
              <w:rPr>
                <w:b w:val="0"/>
                <w:sz w:val="16"/>
              </w:rPr>
              <w:t>Displayed state and navigation journey</w:t>
            </w:r>
          </w:p>
        </w:tc>
        <w:tc>
          <w:tcPr>
            <w:tcW w:type="dxa" w:w="6912"/>
            <w:vAlign w:val="center"/>
          </w:tcPr>
          <w:p>
            <w:r/>
            <w:r>
              <w:rPr>
                <w:b w:val="0"/>
                <w:sz w:val="16"/>
              </w:rPr>
              <w:t>UI automation plus runtime evidence as applicable</w:t>
            </w:r>
          </w:p>
        </w:tc>
      </w:tr>
      <w:tr>
        <w:tc>
          <w:tcPr>
            <w:tcW w:type="dxa" w:w="3600"/>
            <w:vAlign w:val="center"/>
          </w:tcPr>
          <w:p>
            <w:r/>
            <w:r>
              <w:rPr>
                <w:b w:val="0"/>
                <w:sz w:val="16"/>
              </w:rPr>
              <w:t>RTL and text scaling</w:t>
            </w:r>
          </w:p>
        </w:tc>
        <w:tc>
          <w:tcPr>
            <w:tcW w:type="dxa" w:w="6912"/>
            <w:vAlign w:val="center"/>
          </w:tcPr>
          <w:p>
            <w:r/>
            <w:r>
              <w:rPr>
                <w:b w:val="0"/>
                <w:sz w:val="16"/>
              </w:rPr>
              <w:t>Named emulator/simulator/device runtime scenarios</w:t>
            </w:r>
          </w:p>
        </w:tc>
      </w:tr>
      <w:tr>
        <w:tc>
          <w:tcPr>
            <w:tcW w:type="dxa" w:w="3600"/>
            <w:vAlign w:val="center"/>
          </w:tcPr>
          <w:p>
            <w:r/>
            <w:r>
              <w:rPr>
                <w:b w:val="0"/>
                <w:sz w:val="16"/>
              </w:rPr>
              <w:t>Screen reader and focus</w:t>
            </w:r>
          </w:p>
        </w:tc>
        <w:tc>
          <w:tcPr>
            <w:tcW w:type="dxa" w:w="6912"/>
            <w:vAlign w:val="center"/>
          </w:tcPr>
          <w:p>
            <w:r/>
            <w:r>
              <w:rPr>
                <w:b w:val="0"/>
                <w:sz w:val="16"/>
              </w:rPr>
              <w:t>Manual or instrumented accessibility runtime evidence</w:t>
            </w:r>
          </w:p>
        </w:tc>
      </w:tr>
      <w:tr>
        <w:tc>
          <w:tcPr>
            <w:tcW w:type="dxa" w:w="3600"/>
            <w:vAlign w:val="center"/>
          </w:tcPr>
          <w:p>
            <w:r/>
            <w:r>
              <w:rPr>
                <w:b w:val="0"/>
                <w:sz w:val="16"/>
              </w:rPr>
              <w:t>Permissions, background work, deep/app links</w:t>
            </w:r>
          </w:p>
        </w:tc>
        <w:tc>
          <w:tcPr>
            <w:tcW w:type="dxa" w:w="6912"/>
            <w:vAlign w:val="center"/>
          </w:tcPr>
          <w:p>
            <w:r/>
            <w:r>
              <w:rPr>
                <w:b w:val="0"/>
                <w:sz w:val="16"/>
              </w:rPr>
              <w:t>Platform runtime evidence on named destination</w:t>
            </w:r>
          </w:p>
        </w:tc>
      </w:tr>
      <w:tr>
        <w:tc>
          <w:tcPr>
            <w:tcW w:type="dxa" w:w="3600"/>
            <w:vAlign w:val="center"/>
          </w:tcPr>
          <w:p>
            <w:r/>
            <w:r>
              <w:rPr>
                <w:b w:val="0"/>
                <w:sz w:val="16"/>
              </w:rPr>
              <w:t>External service or attestation</w:t>
            </w:r>
          </w:p>
        </w:tc>
        <w:tc>
          <w:tcPr>
            <w:tcW w:type="dxa" w:w="6912"/>
            <w:vAlign w:val="center"/>
          </w:tcPr>
          <w:p>
            <w:r/>
            <w:r>
              <w:rPr>
                <w:b w:val="0"/>
                <w:sz w:val="16"/>
              </w:rPr>
              <w:t>Staging/service evidence with redacted artifacts</w:t>
            </w:r>
          </w:p>
        </w:tc>
      </w:tr>
      <w:tr>
        <w:tc>
          <w:tcPr>
            <w:tcW w:type="dxa" w:w="3600"/>
            <w:vAlign w:val="center"/>
          </w:tcPr>
          <w:p>
            <w:r/>
            <w:r>
              <w:rPr>
                <w:b w:val="0"/>
                <w:sz w:val="16"/>
              </w:rPr>
              <w:t>Signing and release composition</w:t>
            </w:r>
          </w:p>
        </w:tc>
        <w:tc>
          <w:tcPr>
            <w:tcW w:type="dxa" w:w="6912"/>
            <w:vAlign w:val="center"/>
          </w:tcPr>
          <w:p>
            <w:r/>
            <w:r>
              <w:rPr>
                <w:b w:val="0"/>
                <w:sz w:val="16"/>
              </w:rPr>
              <w:t>Archive/APK/AAB inspection, signing/provisioning/store evidence</w:t>
            </w:r>
          </w:p>
        </w:tc>
      </w:tr>
      <w:tr>
        <w:tc>
          <w:tcPr>
            <w:tcW w:type="dxa" w:w="3600"/>
            <w:vAlign w:val="center"/>
          </w:tcPr>
          <w:p>
            <w:r/>
            <w:r>
              <w:rPr>
                <w:b w:val="0"/>
                <w:sz w:val="16"/>
              </w:rPr>
              <w:t>Visual design state</w:t>
            </w:r>
          </w:p>
        </w:tc>
        <w:tc>
          <w:tcPr>
            <w:tcW w:type="dxa" w:w="6912"/>
            <w:vAlign w:val="center"/>
          </w:tcPr>
          <w:p>
            <w:r/>
            <w:r>
              <w:rPr>
                <w:b w:val="0"/>
                <w:sz w:val="16"/>
              </w:rPr>
              <w:t>Screenshot or snapshot may support appearance only</w:t>
            </w:r>
          </w:p>
        </w:tc>
      </w:tr>
    </w:tbl>
    <w:p/>
    <w:p>
      <w:pPr>
        <w:pStyle w:val="Callout"/>
      </w:pPr>
      <w:r>
        <w:t>A completed task without its required TASK-CLOSURE evidence is improperly closed and must be reopened. Deferred FEATURE-CONVERGENCE or FINAL-READINESS evidence does not block an ordinary bounded task unless that task owns the later gate or directly changes the protected boundary. Manual validation is appropriate for subjective/device-only properties, but not as a substitute for deterministic journey, navigation, mutation-propagation, transaction, idempotency, or migration tests.</w:t>
      </w:r>
    </w:p>
    <w:p>
      <w:pPr>
        <w:pStyle w:val="Heading1"/>
      </w:pPr>
      <w:r>
        <w:t>9. Change Control and Drift Prevention</w:t>
      </w:r>
    </w:p>
    <w:p>
      <w:pPr>
        <w:pStyle w:val="ListNumber"/>
      </w:pPr>
      <w:r>
        <w:t>Update the originating authority first.</w:t>
      </w:r>
    </w:p>
    <w:p>
      <w:pPr>
        <w:pStyle w:val="ListNumber"/>
      </w:pPr>
      <w:r>
        <w:t>Amend the affected contract when observable behavior or scope changes.</w:t>
      </w:r>
    </w:p>
    <w:p>
      <w:pPr>
        <w:pStyle w:val="ListNumber"/>
      </w:pPr>
      <w:r>
        <w:t>Rerun independent contract review and obtain owner approval.</w:t>
      </w:r>
    </w:p>
    <w:p>
      <w:pPr>
        <w:pStyle w:val="ListNumber"/>
      </w:pPr>
      <w:r>
        <w:t>Amend the implementation plan when architecture, modules, state, persistence, navigation, lifecycle, testing, or evidence strategy changes.</w:t>
      </w:r>
    </w:p>
    <w:p>
      <w:pPr>
        <w:pStyle w:val="ListNumber"/>
      </w:pPr>
      <w:r>
        <w:t>Rerun plan review and owner approval.</w:t>
      </w:r>
    </w:p>
    <w:p>
      <w:pPr>
        <w:pStyle w:val="ListNumber"/>
      </w:pPr>
      <w:r>
        <w:t>Regenerate or amend tasks and rerun task review.</w:t>
      </w:r>
    </w:p>
    <w:p>
      <w:pPr>
        <w:pStyle w:val="ListNumber"/>
      </w:pPr>
      <w:r>
        <w:t>Synchronize architecture spine, ADRs, coverage, readiness, routing, and owner decisions.</w:t>
      </w:r>
    </w:p>
    <w:p>
      <w:pPr>
        <w:pStyle w:val="ListNumber"/>
      </w:pPr>
      <w:r>
        <w:t>Re-execute only affected implementation and stale/missing evidence; preserve and reuse current valid evidence for unchanged scenarios.</w:t>
      </w:r>
    </w:p>
    <w:p>
      <w:pPr>
        <w:pStyle w:val="ListNumber"/>
      </w:pPr>
      <w:r>
        <w:t>Update the readiness report and rerun the independent readiness spot-check; escalate to full re-review only when findings, risk, or inconsistency require it.</w:t>
      </w:r>
    </w:p>
    <w:p>
      <w:pPr>
        <w:pStyle w:val="ListNumber"/>
      </w:pPr>
      <w:r>
        <w:t>Keep superseded content historical; do not silently rewrite prior decisions or evidence.</w:t>
      </w:r>
    </w:p>
    <w:tbl>
      <w:tblPr>
        <w:tblStyle w:val="TableGrid"/>
        <w:tblW w:type="auto" w:w="0"/>
        <w:jc w:val="center"/>
        <w:tblLook w:firstColumn="1" w:firstRow="1" w:lastColumn="0" w:lastRow="0" w:noHBand="0" w:noVBand="1" w:val="04A0"/>
      </w:tblPr>
      <w:tblGrid>
        <w:gridCol w:w="5083"/>
        <w:gridCol w:w="5083"/>
      </w:tblGrid>
      <w:tr>
        <w:tc>
          <w:tcPr>
            <w:tcW w:type="dxa" w:w="3744"/>
            <w:vAlign w:val="center"/>
            <w:shd w:fill="1F4E78"/>
          </w:tcPr>
          <w:p>
            <w:r/>
            <w:r>
              <w:rPr>
                <w:b/>
                <w:color w:val="FFFFFF"/>
                <w:sz w:val="16"/>
              </w:rPr>
              <w:t>Drift signal</w:t>
            </w:r>
          </w:p>
        </w:tc>
        <w:tc>
          <w:tcPr>
            <w:tcW w:type="dxa" w:w="6768"/>
            <w:vAlign w:val="center"/>
            <w:shd w:fill="1F4E78"/>
          </w:tcPr>
          <w:p>
            <w:r/>
            <w:r>
              <w:rPr>
                <w:b/>
                <w:color w:val="FFFFFF"/>
                <w:sz w:val="16"/>
              </w:rPr>
              <w:t>Required response</w:t>
            </w:r>
          </w:p>
        </w:tc>
      </w:tr>
      <w:tr>
        <w:tc>
          <w:tcPr>
            <w:tcW w:type="dxa" w:w="3744"/>
            <w:vAlign w:val="center"/>
          </w:tcPr>
          <w:p>
            <w:r/>
            <w:r>
              <w:rPr>
                <w:b w:val="0"/>
                <w:sz w:val="16"/>
              </w:rPr>
              <w:t>Implementation adds behavior absent from the contract</w:t>
            </w:r>
          </w:p>
        </w:tc>
        <w:tc>
          <w:tcPr>
            <w:tcW w:type="dxa" w:w="6768"/>
            <w:vAlign w:val="center"/>
          </w:tcPr>
          <w:p>
            <w:r/>
            <w:r>
              <w:rPr>
                <w:b w:val="0"/>
                <w:sz w:val="16"/>
              </w:rPr>
              <w:t>Stop; remove it or amend the source authority and rerun contract lifecycle.</w:t>
            </w:r>
          </w:p>
        </w:tc>
      </w:tr>
      <w:tr>
        <w:tc>
          <w:tcPr>
            <w:tcW w:type="dxa" w:w="3744"/>
            <w:vAlign w:val="center"/>
          </w:tcPr>
          <w:p>
            <w:r/>
            <w:r>
              <w:rPr>
                <w:b w:val="0"/>
                <w:sz w:val="16"/>
              </w:rPr>
              <w:t>Implementation chooses an unapproved framework, dependency, storage engine, capability, or target</w:t>
            </w:r>
          </w:p>
        </w:tc>
        <w:tc>
          <w:tcPr>
            <w:tcW w:type="dxa" w:w="6768"/>
            <w:vAlign w:val="center"/>
          </w:tcPr>
          <w:p>
            <w:r/>
            <w:r>
              <w:rPr>
                <w:b w:val="0"/>
                <w:sz w:val="16"/>
              </w:rPr>
              <w:t>Stop; create/approve the technical decision and synchronize planning.</w:t>
            </w:r>
          </w:p>
        </w:tc>
      </w:tr>
      <w:tr>
        <w:tc>
          <w:tcPr>
            <w:tcW w:type="dxa" w:w="3744"/>
            <w:vAlign w:val="center"/>
          </w:tcPr>
          <w:p>
            <w:r/>
            <w:r>
              <w:rPr>
                <w:b w:val="0"/>
                <w:sz w:val="16"/>
              </w:rPr>
              <w:t>Task combines unrelated layers or evidence</w:t>
            </w:r>
          </w:p>
        </w:tc>
        <w:tc>
          <w:tcPr>
            <w:tcW w:type="dxa" w:w="6768"/>
            <w:vAlign w:val="center"/>
          </w:tcPr>
          <w:p>
            <w:r/>
            <w:r>
              <w:rPr>
                <w:b w:val="0"/>
                <w:sz w:val="16"/>
              </w:rPr>
              <w:t>Split the task and update the dependency graph.</w:t>
            </w:r>
          </w:p>
        </w:tc>
      </w:tr>
      <w:tr>
        <w:tc>
          <w:tcPr>
            <w:tcW w:type="dxa" w:w="3744"/>
            <w:vAlign w:val="center"/>
          </w:tcPr>
          <w:p>
            <w:r/>
            <w:r>
              <w:rPr>
                <w:b w:val="0"/>
                <w:sz w:val="16"/>
              </w:rPr>
              <w:t>Runtime evidence contradicts the contract or plan</w:t>
            </w:r>
          </w:p>
        </w:tc>
        <w:tc>
          <w:tcPr>
            <w:tcW w:type="dxa" w:w="6768"/>
            <w:vAlign w:val="center"/>
          </w:tcPr>
          <w:p>
            <w:r/>
            <w:r>
              <w:rPr>
                <w:b w:val="0"/>
                <w:sz w:val="16"/>
              </w:rPr>
              <w:t>Treat as a defect or authority conflict; do not redefine success after implementation.</w:t>
            </w:r>
          </w:p>
        </w:tc>
      </w:tr>
      <w:tr>
        <w:tc>
          <w:tcPr>
            <w:tcW w:type="dxa" w:w="3744"/>
            <w:vAlign w:val="center"/>
          </w:tcPr>
          <w:p>
            <w:r/>
            <w:r>
              <w:rPr>
                <w:b w:val="0"/>
                <w:sz w:val="16"/>
              </w:rPr>
              <w:t>Plan, tasks, readiness, or authorization disagree</w:t>
            </w:r>
          </w:p>
        </w:tc>
        <w:tc>
          <w:tcPr>
            <w:tcW w:type="dxa" w:w="6768"/>
            <w:vAlign w:val="center"/>
          </w:tcPr>
          <w:p>
            <w:r/>
            <w:r>
              <w:rPr>
                <w:b w:val="0"/>
                <w:sz w:val="16"/>
              </w:rPr>
              <w:t>Block implementation or acceptance until canonical status is synchronized.</w:t>
            </w:r>
          </w:p>
        </w:tc>
      </w:tr>
      <w:tr>
        <w:tc>
          <w:tcPr>
            <w:tcW w:type="dxa" w:w="3744"/>
            <w:vAlign w:val="center"/>
          </w:tcPr>
          <w:p>
            <w:r/>
            <w:r>
              <w:rPr>
                <w:b w:val="0"/>
                <w:sz w:val="16"/>
              </w:rPr>
              <w:t>A template/skill conflicts with project authority</w:t>
            </w:r>
          </w:p>
        </w:tc>
        <w:tc>
          <w:tcPr>
            <w:tcW w:type="dxa" w:w="6768"/>
            <w:vAlign w:val="center"/>
          </w:tcPr>
          <w:p>
            <w:r/>
            <w:r>
              <w:rPr>
                <w:b w:val="0"/>
                <w:sz w:val="16"/>
              </w:rPr>
              <w:t>Project authority wins; update or supersede the reusable asset afterward.</w:t>
            </w:r>
          </w:p>
        </w:tc>
      </w:tr>
    </w:tbl>
    <w:p/>
    <w:p>
      <w:pPr>
        <w:pStyle w:val="Heading1"/>
      </w:pPr>
      <w:r>
        <w:t>10. Recommended Repository Layout</w:t>
      </w:r>
    </w:p>
    <w:p>
      <w:r>
        <w:t>AGENTS.md</w:t>
        <w:br/>
        <w:t>AI_CONTEXT.md</w:t>
        <w:br/>
        <w:t>AI_PLAYBOOK.md</w:t>
        <w:br/>
        <w:br/>
        <w:t>.templates/mobile/mobile/</w:t>
        <w:br/>
        <w:t xml:space="preserve">  FEATURE_INPUT_TEMPLATE.md</w:t>
        <w:br/>
        <w:t xml:space="preserve">  FEATURE_CONTRACT_TEMPLATE.md</w:t>
        <w:br/>
        <w:t xml:space="preserve">  IMPLEMENTATION_READINESS_AUDIT_TEMPLATE.md</w:t>
        <w:br/>
        <w:t xml:space="preserve">  READINESS_REPORT_TEMPLATE.md</w:t>
        <w:br/>
        <w:t>.templates/mobile/ios/</w:t>
        <w:br/>
        <w:t xml:space="preserve">  IMPLEMENTATION_PLAN_TEMPLATE.md</w:t>
        <w:br/>
        <w:t xml:space="preserve">  IMPLEMENTATION_TASKS_TEMPLATE.md</w:t>
        <w:br/>
        <w:t>.templates/mobile/android/</w:t>
        <w:br/>
        <w:t xml:space="preserve">  IMPLEMENTATION_PLAN_TEMPLATE.md</w:t>
        <w:br/>
        <w:t xml:space="preserve">  IMPLEMENTATION_TASKS_TEMPLATE.md</w:t>
        <w:br/>
        <w:br/>
        <w:t>.agents/policies/</w:t>
        <w:br/>
        <w:t xml:space="preserve">  FEATURE_DELIVERY_INVARIANTS.md</w:t>
        <w:br/>
        <w:t xml:space="preserve">  GOVERNANCE_LIFECYCLE.md</w:t>
        <w:br/>
        <w:t xml:space="preserve">  IMPLEMENTATION_POLICY.md</w:t>
        <w:br/>
        <w:t xml:space="preserve">  EVIDENCE_AND_COMPLETION.md</w:t>
        <w:br/>
        <w:t xml:space="preserve">  PROTECTED_BOUNDARIES.md</w:t>
        <w:br/>
        <w:br/>
        <w:t>.agents/skills/android/</w:t>
        <w:br/>
        <w:t xml:space="preserve">  feature-complexity-classification/</w:t>
        <w:br/>
        <w:t xml:space="preserve">  feature-contract-authoring/</w:t>
        <w:br/>
        <w:t xml:space="preserve">  feature-contract-review/</w:t>
        <w:br/>
        <w:t xml:space="preserve">  implementation-plan-authoring/</w:t>
        <w:br/>
        <w:t xml:space="preserve">  implementation-plan-review/</w:t>
        <w:br/>
        <w:t xml:space="preserve">  implementation-task-authoring/</w:t>
        <w:br/>
        <w:t xml:space="preserve">  implementation-task-review/</w:t>
        <w:br/>
        <w:t xml:space="preserve">  bounded-feature-implementation/</w:t>
        <w:br/>
        <w:t xml:space="preserve">  feature-implementation-convergence/</w:t>
        <w:br/>
        <w:t xml:space="preserve">  feature-readiness-review/</w:t>
        <w:br/>
        <w:t xml:space="preserve">  ...specialist readiness skills...</w:t>
        <w:br/>
        <w:br/>
        <w:t>.agents/skills/ios/</w:t>
        <w:br/>
        <w:t xml:space="preserve">  feature-complexity-classification/</w:t>
        <w:br/>
        <w:t xml:space="preserve">  feature-contract-authoring/</w:t>
        <w:br/>
        <w:t xml:space="preserve">  feature-contract-review/</w:t>
        <w:br/>
        <w:t xml:space="preserve">  implementation-plan-authoring/</w:t>
        <w:br/>
        <w:t xml:space="preserve">  implementation-plan-review/</w:t>
        <w:br/>
        <w:t xml:space="preserve">  implementation-task-authoring/</w:t>
        <w:br/>
        <w:t xml:space="preserve">  implementation-task-review/</w:t>
        <w:br/>
        <w:t xml:space="preserve">  bounded-feature-implementation/</w:t>
        <w:br/>
        <w:t xml:space="preserve">  feature-implementation-convergence/</w:t>
        <w:br/>
        <w:t xml:space="preserve">  feature-readiness-review/</w:t>
        <w:br/>
        <w:t xml:space="preserve">  ...specialist readiness skills...</w:t>
        <w:br/>
        <w:br/>
        <w:t>docs/</w:t>
        <w:br/>
        <w:t xml:space="preserve">  product/approved/PRD.md</w:t>
        <w:br/>
        <w:t xml:space="preserve">  decisions/DECISION_REGISTER.md</w:t>
        <w:br/>
        <w:t xml:space="preserve">  architecture/ARCHITECTURE_SPINE.md</w:t>
        <w:br/>
        <w:t xml:space="preserve">  architecture/adrs/ADR-*.md</w:t>
        <w:br/>
        <w:t xml:space="preserve">  architecture/cross-feature-architecture-coverage.md</w:t>
        <w:br/>
        <w:t xml:space="preserve">  architecture/IMPLEMENTATION_READINESS_GATE.md</w:t>
        <w:br/>
        <w:t xml:space="preserve">  design/...</w:t>
        <w:br/>
        <w:t xml:space="preserve">  feature-inputs/&lt;feature-id&gt;/feature-input.md</w:t>
        <w:br/>
        <w:t xml:space="preserve">  features/&lt;feature-id&gt;/FEATURE_CONTRACT.md</w:t>
        <w:br/>
        <w:t xml:space="preserve">  features/&lt;feature-id&gt;/IMPLEMENTATION_PLAN.md</w:t>
        <w:br/>
        <w:t xml:space="preserve">  features/&lt;feature-id&gt;/IMPLEMENTATION_TASKS.md</w:t>
        <w:br/>
        <w:t xml:space="preserve">  features/&lt;feature-id&gt;/READINESS_REPORT.md</w:t>
        <w:br/>
        <w:t xml:space="preserve">  verification/&lt;feature-id&gt;/...</w:t>
        <w:br/>
        <w:t xml:space="preserve">  release/...</w:t>
      </w:r>
    </w:p>
    <w:p>
      <w:pPr>
        <w:pStyle w:val="Heading1"/>
      </w:pPr>
      <w:r>
        <w:t>11. Reusable Checklists and Verdicts</w:t>
      </w:r>
    </w:p>
    <w:p>
      <w:pPr>
        <w:pStyle w:val="Heading2"/>
      </w:pPr>
      <w:r>
        <w:t>11.1 Before Contract Authoring</w:t>
      </w:r>
    </w:p>
    <w:p>
      <w:r>
        <w:t>☐ Feature input is bounded and routed in the feature map.</w:t>
      </w:r>
    </w:p>
    <w:p>
      <w:r>
        <w:t>☐ Product authority and owner decisions are current.</w:t>
      </w:r>
    </w:p>
    <w:p>
      <w:r>
        <w:t>☐ Exact design authority and screen contracts are available where required.</w:t>
      </w:r>
    </w:p>
    <w:p>
      <w:r>
        <w:t>☐ Later-feature ownership and exclusions are known.</w:t>
      </w:r>
    </w:p>
    <w:p>
      <w:r>
        <w:t>☐ Material validation and destructive rules have explicit sources.</w:t>
      </w:r>
    </w:p>
    <w:p>
      <w:pPr>
        <w:pStyle w:val="Heading2"/>
      </w:pPr>
      <w:r>
        <w:t>11.2 Before Plan Authoring</w:t>
      </w:r>
    </w:p>
    <w:p>
      <w:r>
        <w:t>☐ Feature contract is owner-approved.</w:t>
      </w:r>
    </w:p>
    <w:p>
      <w:r>
        <w:t>☐ Contract review is PASS.</w:t>
      </w:r>
    </w:p>
    <w:p>
      <w:r>
        <w:t>☐ Material product clarifications are closed.</w:t>
      </w:r>
    </w:p>
    <w:p>
      <w:r>
        <w:t>☐ Applicable ADRs are accepted.</w:t>
      </w:r>
    </w:p>
    <w:p>
      <w:r>
        <w:t>☐ Required feasibility spikes are independently verified.</w:t>
      </w:r>
    </w:p>
    <w:p>
      <w:r>
        <w:t>☐ Architecture spine, coverage matrix, readiness gate, and routing are synchronized.</w:t>
      </w:r>
    </w:p>
    <w:p>
      <w:pPr>
        <w:pStyle w:val="Heading2"/>
      </w:pPr>
      <w:r>
        <w:t>11.3 Before Task Authoring</w:t>
      </w:r>
    </w:p>
    <w:p>
      <w:r>
        <w:t>☐ Implementation plan is owner-approved.</w:t>
      </w:r>
    </w:p>
    <w:p>
      <w:r>
        <w:t>☐ Plan review is PASS.</w:t>
      </w:r>
    </w:p>
    <w:p>
      <w:r>
        <w:t>☐ No blocking technical decision remains.</w:t>
      </w:r>
    </w:p>
    <w:p>
      <w:r>
        <w:t>☐ Every planned component traces to a contract requirement.</w:t>
      </w:r>
    </w:p>
    <w:p>
      <w:r>
        <w:t>☐ Exact evidence layers, destinations, and artifact paths are defined.</w:t>
      </w:r>
    </w:p>
    <w:p>
      <w:pPr>
        <w:pStyle w:val="Heading2"/>
      </w:pPr>
      <w:r>
        <w:t>11.4 Before Implementation</w:t>
      </w:r>
    </w:p>
    <w:p>
      <w:r>
        <w:t>☐ Contract, plan, and tasks are owner-approved.</w:t>
      </w:r>
    </w:p>
    <w:p>
      <w:r>
        <w:t>☐ Task review is PASS.</w:t>
      </w:r>
    </w:p>
    <w:p>
      <w:r>
        <w:t>☐ Every applicable readiness gate is PASS or owner-authorized N/A.</w:t>
      </w:r>
    </w:p>
    <w:p>
      <w:r>
        <w:t>☐ Authorization status is canonical and synchronized.</w:t>
      </w:r>
    </w:p>
    <w:p>
      <w:r>
        <w:t>☐ No protected-boundary decision or configuration is missing.</w:t>
      </w:r>
    </w:p>
    <w:p>
      <w:pPr>
        <w:pStyle w:val="Heading2"/>
      </w:pPr>
      <w:r>
        <w:t>11.5 Before Feature Acceptance</w:t>
      </w:r>
    </w:p>
    <w:p>
      <w:r>
        <w:t>☐ All completed tasks have matching evidence.</w:t>
      </w:r>
    </w:p>
    <w:p>
      <w:r>
        <w:t>☐ Contract, plan, architecture, and design convergence passed.</w:t>
      </w:r>
    </w:p>
    <w:p>
      <w:r>
        <w:t>☐ Applicable convergence checks passed; required FINAL-READINESS manual/device/platform checks are either passed or explicitly still pending before owner acceptance.</w:t>
      </w:r>
    </w:p>
    <w:p>
      <w:r>
        <w:t>☐ Full CI and current platform-native result artifacts exist.</w:t>
      </w:r>
    </w:p>
    <w:p>
      <w:r>
        <w:t>☐ Documentation and architecture coverage are synchronized.</w:t>
      </w:r>
    </w:p>
    <w:p>
      <w:r>
        <w:t>☐ Applicable FINAL-READINESS evidence is closed and independent feature readiness review is PASS.</w:t>
      </w:r>
    </w:p>
    <w:p>
      <w:pPr>
        <w:pStyle w:val="Heading2"/>
      </w:pPr>
      <w:r>
        <w:t>11.6 Before Release</w:t>
      </w:r>
    </w:p>
    <w:p>
      <w:r>
        <w:t>☐ Feature is owner-accepted.</w:t>
      </w:r>
    </w:p>
    <w:p>
      <w:r>
        <w:t>☐ Release authorization is explicit.</w:t>
      </w:r>
    </w:p>
    <w:p>
      <w:r>
        <w:t>☐ Release configuration fails closed.</w:t>
      </w:r>
    </w:p>
    <w:p>
      <w:r>
        <w:t>☐ Archive/APK/AAB, signing, privacy, capabilities, dependencies, and production composition are inspected.</w:t>
      </w:r>
    </w:p>
    <w:p>
      <w:r>
        <w:t>☐ Store/TestFlight/Play Console evidence and rollout/rollback plan are recorded.</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Mobile Feature Delivery Governance Pipeline — reusable project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40"/>
      <w:ind w:left="288" w:right="288"/>
    </w:pPr>
    <w:rPr>
      <w:rFonts w:ascii="Aptos" w:hAnsi="Aptos"/>
      <w:i/>
      <w:color w:val="46464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Mobile Feature Delivery Governance Pipeline</dc:title>
  <dc:subject>Reusable feature lifecycle from feature input to release</dc:subject>
  <dc:creator>OpenAI</dc:creator>
  <cp:keywords>mobile governance, feature contract, implementation plan, tasks, readiness, Android, iOS</cp:keywords>
  <dc:description>generated by python-docx</dc:description>
  <cp:lastModifiedBy/>
  <cp:revision>1</cp:revision>
  <dcterms:created xsi:type="dcterms:W3CDTF">2013-12-23T23:15:00Z</dcterms:created>
  <dcterms:modified xsi:type="dcterms:W3CDTF">2013-12-23T23:15:00Z</dcterms:modified>
  <cp:category/>
</cp:coreProperties>
</file>