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/>
        <w:t>AI Greenfield Project Playbook - Mobile Generic v1.5</w:t>
      </w:r>
    </w:p>
    <w:p/>
    <w:p>
      <w:r>
        <w:rPr/>
        <w:t>Reusable specification-driven workflow for native Android and iOS teams. Android projects apply the Android overlay and Android skills; iOS projects apply the iOS overlay and iOS skills. `AI_CONTEXT.md` routes agents to the applicable platform procedures.</w:t>
      </w:r>
    </w:p>
    <w:p/>
    <w:p>
      <w:r/>
      <w:r>
        <w:rPr>
          <w:b/>
        </w:rPr>
        <w:t>Core rule:</w:t>
      </w:r>
      <w:r>
        <w:t xml:space="preserve"> Do not let implementation outrun an agreed specification, synchronized architecture, validated project structure, screen implementation contract, or verification plan.</w:t>
      </w:r>
    </w:p>
    <w:p/>
    <w:p>
      <w:pPr>
        <w:pStyle w:val="Heading1"/>
      </w:pPr>
      <w:r>
        <w:t>1. Authority and evidence</w:t>
      </w:r>
    </w:p>
    <w:p/>
    <w:p>
      <w:r>
        <w:t>Use this order when instructions conflict: explicit task/owner direction; root policy and protected boundaries; approved product contracts; approved architecture/design decisions; verified implementation/evidence; context router; playbook/skills; imported guidance.</w:t>
      </w:r>
    </w:p>
    <w:p/>
    <w:p>
      <w:r>
        <w:t>A skill explains how to work and does not authorize work. Missing or conflicting evidence is `Needs verification`.</w:t>
      </w:r>
    </w:p>
    <w:p/>
    <w:p>
      <w:r>
        <w:t>Evidence categories remain distinct: product decision, specification contract, technical decision, design authority, static source, host test, instrumented test, runtime/device, external-service/attestation, and release artifact. Never promote a lower layer into a stronger claim.</w:t>
      </w:r>
    </w:p>
    <w:p/>
    <w:p>
      <w:pPr>
        <w:pStyle w:val="Heading1"/>
      </w:pPr>
      <w:r>
        <w:t>2. Canonical lifecycle</w:t>
      </w:r>
    </w:p>
    <w:p/>
    <w:p>
      <w:r>
        <w:t>0. Safe initialization and governance.</w:t>
      </w:r>
    </w:p>
    <w:p>
      <w:r>
        <w:t>0.5. Project constitution.</w:t>
      </w:r>
    </w:p>
    <w:p>
      <w:r>
        <w:t>1. Product framing and outcomes.</w:t>
      </w:r>
    </w:p>
    <w:p>
      <w:r>
        <w:t>1.5. Experience exploration and design direction.</w:t>
      </w:r>
    </w:p>
    <w:p>
      <w:r>
        <w:t>2. Bounded feature specification.</w:t>
      </w:r>
    </w:p>
    <w:p>
      <w:r>
        <w:t>2.5. Clarification and requirements quality.</w:t>
      </w:r>
    </w:p>
    <w:p>
      <w:r>
        <w:t>3. Technical planning and architecture.</w:t>
      </w:r>
    </w:p>
    <w:p>
      <w:r>
        <w:t>3.2. Project structure and composition readiness.</w:t>
      </w:r>
    </w:p>
    <w:p>
      <w:r>
        <w:t>3.4. Cross-feature architecture coverage.</w:t>
      </w:r>
    </w:p>
    <w:p>
      <w:r>
        <w:t>3.6. Governance consistency synchronization.</w:t>
      </w:r>
    </w:p>
    <w:p>
      <w:r>
        <w:t>4. Dependency-ordered tasks and cross-artifact analysis.</w:t>
      </w:r>
    </w:p>
    <w:p>
      <w:r>
        <w:t>4.5. Implementation readiness audit.</w:t>
      </w:r>
    </w:p>
    <w:p>
      <w:r>
        <w:t>5. Walking skeleton and first vertical slice.</w:t>
      </w:r>
    </w:p>
    <w:p>
      <w:r>
        <w:t>6. Bounded implementation slices.</w:t>
      </w:r>
    </w:p>
    <w:p>
      <w:r>
        <w:t>7. Expanded tests and integration verification.</w:t>
      </w:r>
    </w:p>
    <w:p>
      <w:r>
        <w:t>8. Product/platform hardening.</w:t>
      </w:r>
    </w:p>
    <w:p>
      <w:r>
        <w:t>9. Delivery and release verification.</w:t>
      </w:r>
    </w:p>
    <w:p>
      <w:r>
        <w:t>10. Review and controlled publication.</w:t>
      </w:r>
    </w:p>
    <w:p>
      <w:r>
        <w:t>11. Launch and operational verification.</w:t>
      </w:r>
    </w:p>
    <w:p>
      <w:r>
        <w:t>12. Lessons, reusable assets, and handoff.</w:t>
      </w:r>
    </w:p>
    <w:p/>
    <w:p>
      <w:pPr>
        <w:pStyle w:val="Heading1"/>
      </w:pPr>
      <w:r>
        <w:t>3. Phase 0 - initialization</w:t>
      </w:r>
    </w:p>
    <w:p/>
    <w:p>
      <w:r>
        <w:t>Create one root authority model, protected branches, root `AGENTS.md`, `AI_CONTEXT.md`, workflow/version records, protected boundaries, skills, hooks policy, documentation impact workflow, and CI plan. Replace all placeholders. Hooks may remind or run deterministic read-only checks; they must not authorize, edit specs automatically, publish, merge, sign, or access production.</w:t>
      </w:r>
    </w:p>
    <w:p/>
    <w:p>
      <w:pPr>
        <w:pStyle w:val="Heading1"/>
      </w:pPr>
      <w:r>
        <w:t>4. Constitution</w:t>
      </w:r>
    </w:p>
    <w:p/>
    <w:p>
      <w:r>
        <w:t>Define stable principles for platform baseline, architecture before implementation, presentation ownership, thin hosts, localized/adaptive/accessibility behavior, privacy, lifecycle, production integrity, evidence, review, and governance consistency. Feature behavior belongs in specs; technical mechanisms in plans/ADRs; operational rules in `AGENTS.md`.</w:t>
      </w:r>
    </w:p>
    <w:p/>
    <w:p>
      <w:pPr>
        <w:pStyle w:val="Heading1"/>
      </w:pPr>
      <w:r>
        <w:t>5. Product and design</w:t>
      </w:r>
    </w:p>
    <w:p/>
    <w:p>
      <w:r>
        <w:t>Separate outcomes from screens. Record actors, journeys, non-goals, constraints, data categories, identity, payments, integrations, assumptions, and success measures. Generated design is exploratory until reviewed. Approved design does not replace acceptance criteria or backend/platform rules.</w:t>
      </w:r>
    </w:p>
    <w:p/>
    <w:p>
      <w:r>
        <w:rPr/>
        <w:t>Design direction must cover loading, empty, failure, offline, permission, disabled, success, phone/tablet or compact/expanded behavior as applicable, localization, RTL, accessibility, platform conventions, and design authority.</w:t>
      </w:r>
    </w:p>
    <w:p/>
    <w:p>
      <w:pPr>
        <w:pStyle w:val="Heading1"/>
      </w:pPr>
      <w:r>
        <w:t>6. Bounded specification and clarification</w:t>
      </w:r>
    </w:p>
    <w:p/>
    <w:p>
      <w:r>
        <w:t>Each feature spec defines actors, stories, observable acceptance, failure/recovery, visible data, privacy/consent, localization/accessibility, supported forms, non-functional outcomes, non-goals, and unresolved questions. Do not encode framework/file structure unless it is a true product constraint.</w:t>
      </w:r>
    </w:p>
    <w:p/>
    <w:p>
      <w:r>
        <w:t>Clarify identity, data lifecycle, destructive actions, retry/offline, permission, notifications/background, privacy, financial behavior, multi-account/device, form factors, and rollout. Owner answers belong in the canonical spec.</w:t>
      </w:r>
    </w:p>
    <w:p/>
    <w:p>
      <w:pPr>
        <w:pStyle w:val="Heading1"/>
      </w:pPr>
      <w:r>
        <w:t>7. Technical planning and architecture</w:t>
      </w:r>
    </w:p>
    <w:p/>
    <w:p>
      <w:r>
        <w:t>Create a coherent architecture spine before feature plans scale. Cover system shape, ownership/dependencies, composition, presentation state, navigation, data flow, persistence, recovery, design system, localization/accessibility/adaptation, security/privacy/permissions, configuration, background/platform, observability, performance, build/release, testability, AI workflow/documentation.</w:t>
      </w:r>
    </w:p>
    <w:p/>
    <w:p>
      <w:r>
        <w:t>Create ADRs for hard-to-reverse or cross-feature choices. Accepted amendments must update the canonical decision body; historical proposals are clearly superseded.</w:t>
      </w:r>
    </w:p>
    <w:p/>
    <w:p>
      <w:pPr>
        <w:pStyle w:val="Heading2"/>
      </w:pPr>
      <w:r>
        <w:rPr/>
        <w:t>7.1 Shared structure and composition readiness</w:t>
      </w:r>
    </w:p>
    <w:p/>
    <w:p>
      <w:r>
        <w:rPr/>
        <w:t>Before platform code generation, explicitly decide the verified toolchain, application and test targets/modules, namespace or bundle/module naming, thin platform-host responsibilities, application composition root, presentation-state ownership, feature presentation/domain/data/platform boundaries, allowed dependency directions, resource ownership, test destinations, and evidence locations. Unresolved structure is an implementation blocker.</w:t>
      </w:r>
    </w:p>
    <w:p/>
    <w:p>
      <w:pPr>
        <w:pStyle w:val="Heading2"/>
      </w:pPr>
      <w:r>
        <w:rPr/>
        <w:t>7.2 Android project structure readiness</w:t>
      </w:r>
    </w:p>
    <w:p/>
    <w:p>
      <w:r>
        <w:rPr/>
        <w:t>Before Android code generation, explicitly decide application namespace/source roots, thin Activity and Application responsibilities, composition root, DI/factory mechanism, ViewModel ownership, route/content boundary, feature presentation/domain/data ownership, allowed dependencies, and module strategy. Run `android-project-structure-readiness`.</w:t>
      </w:r>
    </w:p>
    <w:p>
      <w:pPr>
        <w:pStyle w:val="Heading2"/>
      </w:pPr>
      <w:r>
        <w:t>7.3 iOS project structure readiness</w:t>
      </w:r>
    </w:p>
    <w:p>
      <w:pPr/>
      <w:r>
        <w:t>Before iOS code generation, explicitly decide the verified Xcode, Swift language mode, SDK, and deployment baseline; application, unit-test, UI-test, widget, extension, and other target scope; bundle identifier and Swift module naming; thin `App`, AppDelegate, SceneDelegate, or root-controller responsibilities; application composition-root ownership; presentation-state and observation model; Swift Concurrency and actor-isolation boundaries; route/container and render/content boundaries; feature presentation/domain/data/platform ownership; allowed target and package dependency directions; one-target versus local Swift-package strategy; resource and target-membership ownership; schemes, configurations, test plans, build commands, and evidence locations. Run `ios-architecture-readiness`, `ios-project-structure-readiness`, and `swift-concurrency-readiness`.</w:t>
      </w:r>
    </w:p>
    <w:p>
      <w:pPr>
        <w:pStyle w:val="Heading2"/>
      </w:pPr>
      <w:r>
        <w:t>7.4 Android Compose screen contract</w:t>
      </w:r>
    </w:p>
    <w:p>
      <w:pPr/>
      <w:r>
        <w:t>Before generating or accepting an Android screen task, run `compose-screen-readiness`, `localization-rtl-readiness`, and `adaptive-compose`. Record state owner, route/content split, navigation boundary, resource keys/locales, RTL, compact/medium/expanded arrangements, lifecycle restoration, accessibility, IME/insets/input, states, previews, tests, runtime matrix, prohibited patterns, and stop conditions.</w:t>
      </w:r>
    </w:p>
    <w:p>
      <w:pPr>
        <w:pStyle w:val="Heading2"/>
      </w:pPr>
      <w:r>
        <w:t>7.5 iOS SwiftUI/UIKit screen contract</w:t>
      </w:r>
    </w:p>
    <w:p>
      <w:pPr/>
      <w:r>
        <w:t>Before generating or accepting an iOS screen task, run `swiftui-screen-readiness` or `uikit-screen-readiness`, `ios-localization-rtl-readiness`, `ios-adaptive-accessibility-readiness`, and `ios-runtime-evidence-readiness`. Record state owner and lifetime; observation and `MainActor` boundary; route/container and render/content separation; navigation, sheet, popover, dismissal, and restoration behavior; String Catalog keys and locales; RTL and mixed-direction behavior; iPhone and iPad arrangements; size-class and multitasking behavior; Dynamic Type and VoiceOver; safe areas and keyboard behavior; touch, keyboard, and pointer interaction where applicable; loading, empty, failure, recovery, disabled, and success states; previews, tests, simulator/device scenarios, artifact paths, prohibited patterns, and stop conditions.</w:t>
      </w:r>
    </w:p>
    <w:p/>
    <w:p>
      <w:pPr>
        <w:pStyle w:val="Heading1"/>
      </w:pPr>
      <w:r>
        <w:t>8. Architecture coverage and consistency</w:t>
      </w:r>
    </w:p>
    <w:p/>
    <w:p>
      <w:r>
        <w:t>Use separate decision, implementation, and evidence statuses. Absence is not `Not applicable`. Every unresolved item has an owner, blocker, next action, and next evidence.</w:t>
      </w:r>
    </w:p>
    <w:p/>
    <w:p>
      <w:r>
        <w:t>After ADR acceptance or material design/product changes, synchronize the decision register, architecture spine, coverage matrix, context router, plans, and tasks. Run `documentation-consistency-review`. Any contradiction blocks the affected work.</w:t>
      </w:r>
    </w:p>
    <w:p/>
    <w:p>
      <w:pPr>
        <w:pStyle w:val="Heading1"/>
      </w:pPr>
      <w:r>
        <w:t>9. Tasks</w:t>
      </w:r>
    </w:p>
    <w:p/>
    <w:p>
      <w:r>
        <w:t>Tasks are dependency-ordered and trace to requirements and architecture. UI obligations are not hidden in one broad “build screen” task. Decompose state contract, route wiring, stateless content, resources/RTL, adaptation, accessibility, previews/tests, and runtime evidence where useful.</w:t>
      </w:r>
    </w:p>
    <w:p/>
    <w:p>
      <w:r>
        <w:t>Every task identifies outcome, requirement, ADR, location/boundary, prerequisites, prohibited patterns, stop condition, exact evidence scenarios, and planned artifact. A checked task cites executed evidence artifact details.</w:t>
      </w:r>
    </w:p>
    <w:p/>
    <w:p>
      <w:pPr>
        <w:pStyle w:val="Heading1"/>
      </w:pPr>
      <w:r>
        <w:t>10. Implementation readiness</w:t>
      </w:r>
    </w:p>
    <w:p/>
    <w:p>
      <w:r>
        <w:rPr/>
        <w:t>Run the mandatory gate before planning, accepting tasks, and implementation. Implementation begins only when blockers are resolved or an owner authorizes a narrower slice that avoids them. A `Draft` spec, stale plan, wrong target/module/package/source path, unresolved presentation-state, concurrency, composition, persistence, navigation, localization, adaptation, accessibility, privacy/capability, or evidence decision is a blocker.</w:t>
      </w:r>
    </w:p>
    <w:p/>
    <w:p>
      <w:pPr>
        <w:pStyle w:val="Heading1"/>
      </w:pPr>
      <w:r>
        <w:t>11. Walking skeleton</w:t>
      </w:r>
    </w:p>
    <w:p/>
    <w:p>
      <w:r>
        <w:rPr/>
        <w:t>Prove the toolchain and architecture with the smallest end-to-end outcome. It should boot on an approved runtime, use a thin platform host, approved composition, one route/container and render/content screen, approved presentation-state owner, resource-backed strings, locale parity check, representative phone/tablet adaptation, accessibility semantics, domain/state tests, CI baseline, and explicit fail-closed configuration behavior. Android uses the approved Activity/ViewModel/Compose contract; iOS uses the approved App/scene, observation, Swift Concurrency, and SwiftUI/UIKit contract.</w:t>
      </w:r>
    </w:p>
    <w:p/>
    <w:p>
      <w:pPr>
        <w:pStyle w:val="Heading1"/>
      </w:pPr>
      <w:r>
        <w:t>12. Iterative implementation</w:t>
      </w:r>
    </w:p>
    <w:p/>
    <w:p>
      <w:r>
        <w:rPr/>
        <w:t>Select a bounded task phase; load minimal context; run protected preflight if needed; run the applicable platform structure, screen, concurrency, persistence, localization/RTL, adaptive/accessibility, privacy/capability, and runtime-evidence skills; implement; add focused tests; execute named evidence; review the diff; synchronize affected artifacts; converge at checkpoints. Do not implement the whole product in one context window.</w:t>
      </w:r>
    </w:p>
    <w:p/>
    <w:p>
      <w:pPr>
        <w:pStyle w:val="Heading1"/>
      </w:pPr>
      <w:r>
        <w:t>13. Verification and hardening</w:t>
      </w:r>
    </w:p>
    <w:p/>
    <w:p>
      <w:r>
        <w:rPr/>
        <w:t>Use the smallest useful layer first: domain/state, repository/contracts, persistence/migrations, component/semantics, navigation, integration, simulator/device journeys, and release smoke. Include failure, cancellation, lifecycle or scene restoration, permission denial, offline, retry, RTL, large or Dynamic Type text, accessibility, resize/multi-window or multitasking, background/relaunch, and external attestation when applicable.</w:t>
      </w:r>
    </w:p>
    <w:p/>
    <w:p>
      <w:r>
        <w:t>Static inspection alone is insufficient for runtime/device/backend/security/accessibility/performance/release claims.</w:t>
      </w:r>
    </w:p>
    <w:p/>
    <w:p>
      <w:pPr>
        <w:pStyle w:val="Heading1"/>
      </w:pPr>
      <w:r>
        <w:t>14. Review, publication, launch</w:t>
      </w:r>
    </w:p>
    <w:p/>
    <w:p>
      <w:r>
        <w:t>Run PR review, documentation impact, consistency review, and all applicable skills. Record commands actually run and unrun layers. Prepare publication read-only, then stop for explicit approval. Never auto-merge, force-push, bypass checks, sign/upload/distribute, or access production without separate authorization.</w:t>
      </w:r>
    </w:p>
    <w:p/>
    <w:p>
      <w:r>
        <w:t>Launch verification covers rollout/flags, analytics/privacy, crash symbolication, logs/metrics, backend capacity, background behavior, support, rollback, and success measures. Build success is not launch success.</w:t>
      </w:r>
    </w:p>
    <w:p/>
    <w:p>
      <w:pPr>
        <w:pStyle w:val="Heading1"/>
      </w:pPr>
      <w:r>
        <w:t>15. Starter adoption checklist</w:t>
      </w:r>
    </w:p>
    <w:p/>
    <w:p>
      <w:r>
        <w:rPr/>
        <w:t>Before first feature: merge policies; replace placeholders; pin workflow versions; ratify the platform constitution; declare design authority; establish product outcomes; define the architecture spine; verify the platform toolchain; define namespace or bundle/module naming; define thin platform hosts, composition, presentation-state ownership, concurrency rules, localization/RTL/adaptation/accessibility foundations, CI/test destinations, and protected branches.</w:t>
      </w:r>
    </w:p>
    <w:p/>
    <w:p>
      <w:r>
        <w:t>Before implementation: approved/clarified spec; accepted canonical ADRs; synchronized architecture/context; structure gate passed; screen contracts passed; coverage classified; tasks analyzed; exact evidence plan; protected approvals.</w:t>
      </w:r>
    </w:p>
    <w:p/>
    <w:p>
      <w:r>
        <w:t>Before completion: implementation converged; prohibited-pattern scans passed; tests/runtime actually ran; RTL/adaptive/accessibility/privacy/performance work completed when applicable; evidence artifacts linked; docs consistent; PR review complete; publication explicitly approved.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/>
      <w:t>Mobile Greenfield Reusable Governance Package v1.5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Greenfield Project Playbook - Mobile Generic v1.5</dc:title>
  <dc:subject>Reusable specification-driven workflow for native Android and iOS</dc:subject>
  <dc:creator>python-docx</dc:creator>
  <cp:keywords/>
  <dc:description>Updated with explicit Android and iOS project-structure and screen-readiness routing.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