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AI Greenfield Project Playbook - Mobile Agent-Native v2.0</w:t>
      </w:r>
    </w:p>
    <w:p>
      <w:pPr>
        <w:jc w:val="center"/>
      </w:pPr>
      <w:r>
        <w:t>A governance-native workflow for high-quality Android and iOS applications without Spec Kit or BMAD.</w:t>
      </w:r>
    </w:p>
    <w:p>
      <w:r>
        <w:t>Core rule: No agent may move from product intent to implementation without an approved feature contract, synchronized architecture, dependency-ordered tasks, a passed readiness gate, and named evidence.</w:t>
      </w:r>
    </w:p>
    <w:p>
      <w:pPr>
        <w:pStyle w:val="Heading1"/>
      </w:pPr>
      <w:r>
        <w:t>1. Purpose and scope</w:t>
      </w:r>
    </w:p>
    <w:p>
      <w:r>
        <w:t>This playbook defines a reusable, tool-agnostic process for building native Android and iOS applications with coding agents. It replaces framework-owned lifecycle templates with repository-owned governance, agent prompts, platform skills, explicit owner decisions, and evidence gates.</w:t>
      </w:r>
    </w:p>
    <w:p>
      <w:r>
        <w:t>It is designed for projects that already maintain a PRD, constitution, root agent policy, context router, architecture spine, ADRs, design authority, mobile readiness skills, protected-boundary rules, and verification requirements.</w:t>
      </w:r>
    </w:p>
    <w:p>
      <w:r>
        <w:t>The workflow does not use Spec Kit or BMAD for specification, planning, architecture, tasks, or implementation. Agents operate directly against canonical repository documents and the prompts in this playbook.</w:t>
      </w:r>
    </w:p>
    <w:p>
      <w:pPr>
        <w:pStyle w:val="Heading1"/>
      </w:pPr>
      <w:r>
        <w:t>2. Authority and evidence model</w:t>
      </w:r>
    </w:p>
    <w:p>
      <w:r>
        <w:t>When instructions conflict, use this order:</w:t>
      </w:r>
    </w:p>
    <w:p>
      <w:pPr>
        <w:pStyle w:val="ListNumber"/>
      </w:pPr>
      <w:r>
        <w:t>Explicit owner decision for the current task.</w:t>
      </w:r>
    </w:p>
    <w:p>
      <w:pPr>
        <w:pStyle w:val="ListNumber"/>
      </w:pPr>
      <w:r>
        <w:t>Root AGENTS.md, protected boundaries, and repository safety policy.</w:t>
      </w:r>
    </w:p>
    <w:p>
      <w:pPr>
        <w:pStyle w:val="ListNumber"/>
      </w:pPr>
      <w:r>
        <w:t>Approved PRD and approved feature contract.</w:t>
      </w:r>
    </w:p>
    <w:p>
      <w:pPr>
        <w:pStyle w:val="ListNumber"/>
      </w:pPr>
      <w:r>
        <w:t>Accepted architecture spine, ADRs, and design authority.</w:t>
      </w:r>
    </w:p>
    <w:p>
      <w:pPr>
        <w:pStyle w:val="ListNumber"/>
      </w:pPr>
      <w:r>
        <w:t>Verified repository implementation and executed evidence.</w:t>
      </w:r>
    </w:p>
    <w:p>
      <w:pPr>
        <w:pStyle w:val="ListNumber"/>
      </w:pPr>
      <w:r>
        <w:t>AI_CONTEXT.md routing and this playbook.</w:t>
      </w:r>
    </w:p>
    <w:p>
      <w:pPr>
        <w:pStyle w:val="ListNumber"/>
      </w:pPr>
      <w:r>
        <w:t>Skills, checklists, imported guidance, and model suggestions.</w:t>
      </w:r>
    </w:p>
    <w:p>
      <w:r>
        <w:t>A skill explains how to work; it does not authorize work. Missing, stale, contradictory, or unverified information is marked `Needs verification`.</w:t>
      </w:r>
    </w:p>
    <w:p>
      <w:r>
        <w:t>Keep evidence categories separate: product decision, feature contract, technical decision, design authority, static source inspection, host test, instrumented test, simulator/device runtime, external-service or attestation evidence, archive/signing evidence, and release evidence.</w:t>
      </w:r>
    </w:p>
    <w:p>
      <w:pPr>
        <w:pStyle w:val="Heading1"/>
      </w:pPr>
      <w:r>
        <w:t>3. Canonical repository artifacts</w:t>
      </w:r>
    </w:p>
    <w:tbl>
      <w:tblPr>
        <w:tblStyle w:val="TableGrid"/>
        <w:tblW w:type="auto" w:w="0"/>
        <w:jc w:val="center"/>
        <w:tblLook w:firstColumn="1" w:firstRow="1" w:lastColumn="0" w:lastRow="0" w:noHBand="0" w:noVBand="1" w:val="04A0"/>
      </w:tblPr>
      <w:tblGrid>
        <w:gridCol w:w="5040"/>
        <w:gridCol w:w="5040"/>
      </w:tblGrid>
      <w:tr>
        <w:tc>
          <w:tcPr>
            <w:tcW w:type="dxa" w:w="5040"/>
            <w:shd w:fill="DCE6F1"/>
          </w:tcPr>
          <w:p>
            <w:r>
              <w:t>Artifact role</w:t>
            </w:r>
          </w:p>
        </w:tc>
        <w:tc>
          <w:tcPr>
            <w:tcW w:type="dxa" w:w="5040"/>
            <w:shd w:fill="DCE6F1"/>
          </w:tcPr>
          <w:p>
            <w:r>
              <w:t>Canonical path</w:t>
            </w:r>
          </w:p>
        </w:tc>
      </w:tr>
      <w:tr>
        <w:tc>
          <w:tcPr>
            <w:tcW w:type="dxa" w:w="5040"/>
          </w:tcPr>
          <w:p>
            <w:r>
              <w:t>Product authority</w:t>
            </w:r>
          </w:p>
        </w:tc>
        <w:tc>
          <w:tcPr>
            <w:tcW w:type="dxa" w:w="5040"/>
          </w:tcPr>
          <w:p>
            <w:r>
              <w:t>docs/product/approved/PRD.md</w:t>
            </w:r>
          </w:p>
        </w:tc>
      </w:tr>
      <w:tr>
        <w:tc>
          <w:tcPr>
            <w:tcW w:type="dxa" w:w="5040"/>
          </w:tcPr>
          <w:p>
            <w:r>
              <w:t>Owner decisions</w:t>
            </w:r>
          </w:p>
        </w:tc>
        <w:tc>
          <w:tcPr>
            <w:tcW w:type="dxa" w:w="5040"/>
          </w:tcPr>
          <w:p>
            <w:r>
              <w:t>docs/decisions/DECISION_REGISTER.md</w:t>
            </w:r>
          </w:p>
        </w:tc>
      </w:tr>
      <w:tr>
        <w:tc>
          <w:tcPr>
            <w:tcW w:type="dxa" w:w="5040"/>
          </w:tcPr>
          <w:p>
            <w:r>
              <w:t>Stable principles</w:t>
            </w:r>
          </w:p>
        </w:tc>
        <w:tc>
          <w:tcPr>
            <w:tcW w:type="dxa" w:w="5040"/>
          </w:tcPr>
          <w:p>
            <w:r>
              <w:t>.specify/memory/constitution.md or the repository constitution path</w:t>
            </w:r>
          </w:p>
        </w:tc>
      </w:tr>
      <w:tr>
        <w:tc>
          <w:tcPr>
            <w:tcW w:type="dxa" w:w="5040"/>
          </w:tcPr>
          <w:p>
            <w:r>
              <w:t>Operational policy</w:t>
            </w:r>
          </w:p>
        </w:tc>
        <w:tc>
          <w:tcPr>
            <w:tcW w:type="dxa" w:w="5040"/>
          </w:tcPr>
          <w:p>
            <w:r>
              <w:t>AGENTS.md plus platform overlay</w:t>
            </w:r>
          </w:p>
        </w:tc>
      </w:tr>
      <w:tr>
        <w:tc>
          <w:tcPr>
            <w:tcW w:type="dxa" w:w="5040"/>
          </w:tcPr>
          <w:p>
            <w:r>
              <w:t>Context routing</w:t>
            </w:r>
          </w:p>
        </w:tc>
        <w:tc>
          <w:tcPr>
            <w:tcW w:type="dxa" w:w="5040"/>
          </w:tcPr>
          <w:p>
            <w:r>
              <w:t>AI_CONTEXT.md</w:t>
            </w:r>
          </w:p>
        </w:tc>
      </w:tr>
      <w:tr>
        <w:tc>
          <w:tcPr>
            <w:tcW w:type="dxa" w:w="5040"/>
          </w:tcPr>
          <w:p>
            <w:r>
              <w:t>Workflow policy</w:t>
            </w:r>
          </w:p>
        </w:tc>
        <w:tc>
          <w:tcPr>
            <w:tcW w:type="dxa" w:w="5040"/>
          </w:tcPr>
          <w:p>
            <w:r>
              <w:t>AI_PLAYBOOK.md and this playbook</w:t>
            </w:r>
          </w:p>
        </w:tc>
      </w:tr>
      <w:tr>
        <w:tc>
          <w:tcPr>
            <w:tcW w:type="dxa" w:w="5040"/>
          </w:tcPr>
          <w:p>
            <w:r>
              <w:t>Design authority</w:t>
            </w:r>
          </w:p>
        </w:tc>
        <w:tc>
          <w:tcPr>
            <w:tcW w:type="dxa" w:w="5040"/>
          </w:tcPr>
          <w:p>
            <w:r>
              <w:t>docs/design/approved/DESIGN_AUTHORITY.md and routed design contracts</w:t>
            </w:r>
          </w:p>
        </w:tc>
      </w:tr>
      <w:tr>
        <w:tc>
          <w:tcPr>
            <w:tcW w:type="dxa" w:w="5040"/>
          </w:tcPr>
          <w:p>
            <w:r>
              <w:t>Architecture system map</w:t>
            </w:r>
          </w:p>
        </w:tc>
        <w:tc>
          <w:tcPr>
            <w:tcW w:type="dxa" w:w="5040"/>
          </w:tcPr>
          <w:p>
            <w:r>
              <w:t>docs/architecture/ARCHITECTURE_SPINE.md</w:t>
            </w:r>
          </w:p>
        </w:tc>
      </w:tr>
      <w:tr>
        <w:tc>
          <w:tcPr>
            <w:tcW w:type="dxa" w:w="5040"/>
          </w:tcPr>
          <w:p>
            <w:r>
              <w:t>Technical decisions</w:t>
            </w:r>
          </w:p>
        </w:tc>
        <w:tc>
          <w:tcPr>
            <w:tcW w:type="dxa" w:w="5040"/>
          </w:tcPr>
          <w:p>
            <w:r>
              <w:t>docs/architecture/adrs/ADR-*.md</w:t>
            </w:r>
          </w:p>
        </w:tc>
      </w:tr>
      <w:tr>
        <w:tc>
          <w:tcPr>
            <w:tcW w:type="dxa" w:w="5040"/>
          </w:tcPr>
          <w:p>
            <w:r>
              <w:t>Coverage and readiness</w:t>
            </w:r>
          </w:p>
        </w:tc>
        <w:tc>
          <w:tcPr>
            <w:tcW w:type="dxa" w:w="5040"/>
          </w:tcPr>
          <w:p>
            <w:r>
              <w:t>cross-feature-architecture-coverage.md and IMPLEMENTATION_READINESS_GATE.md</w:t>
            </w:r>
          </w:p>
        </w:tc>
      </w:tr>
      <w:tr>
        <w:tc>
          <w:tcPr>
            <w:tcW w:type="dxa" w:w="5040"/>
          </w:tcPr>
          <w:p>
            <w:r>
              <w:t>Feature contract</w:t>
            </w:r>
          </w:p>
        </w:tc>
        <w:tc>
          <w:tcPr>
            <w:tcW w:type="dxa" w:w="5040"/>
          </w:tcPr>
          <w:p>
            <w:r>
              <w:t>docs/features/&lt;feature&gt;/FEATURE_CONTRACT.md</w:t>
            </w:r>
          </w:p>
        </w:tc>
      </w:tr>
      <w:tr>
        <w:tc>
          <w:tcPr>
            <w:tcW w:type="dxa" w:w="5040"/>
          </w:tcPr>
          <w:p>
            <w:r>
              <w:t>Implementation plan</w:t>
            </w:r>
          </w:p>
        </w:tc>
        <w:tc>
          <w:tcPr>
            <w:tcW w:type="dxa" w:w="5040"/>
          </w:tcPr>
          <w:p>
            <w:r>
              <w:t>docs/features/&lt;feature&gt;/IMPLEMENTATION_PLAN.md</w:t>
            </w:r>
          </w:p>
        </w:tc>
      </w:tr>
      <w:tr>
        <w:tc>
          <w:tcPr>
            <w:tcW w:type="dxa" w:w="5040"/>
          </w:tcPr>
          <w:p>
            <w:r>
              <w:t>Task checklist</w:t>
            </w:r>
          </w:p>
        </w:tc>
        <w:tc>
          <w:tcPr>
            <w:tcW w:type="dxa" w:w="5040"/>
          </w:tcPr>
          <w:p>
            <w:r>
              <w:t>docs/features/&lt;feature&gt;/TASKS.md</w:t>
            </w:r>
          </w:p>
        </w:tc>
      </w:tr>
      <w:tr>
        <w:tc>
          <w:tcPr>
            <w:tcW w:type="dxa" w:w="5040"/>
          </w:tcPr>
          <w:p>
            <w:r>
              <w:t>Readiness report</w:t>
            </w:r>
          </w:p>
        </w:tc>
        <w:tc>
          <w:tcPr>
            <w:tcW w:type="dxa" w:w="5040"/>
          </w:tcPr>
          <w:p>
            <w:r>
              <w:t>docs/features/&lt;feature&gt;/READINESS_REPORT.md</w:t>
            </w:r>
          </w:p>
        </w:tc>
      </w:tr>
      <w:tr>
        <w:tc>
          <w:tcPr>
            <w:tcW w:type="dxa" w:w="5040"/>
          </w:tcPr>
          <w:p>
            <w:r>
              <w:t>Evidence</w:t>
            </w:r>
          </w:p>
        </w:tc>
        <w:tc>
          <w:tcPr>
            <w:tcW w:type="dxa" w:w="5040"/>
          </w:tcPr>
          <w:p>
            <w:r>
              <w:t>docs/verification/&lt;feature&gt;/</w:t>
            </w:r>
          </w:p>
        </w:tc>
      </w:tr>
    </w:tbl>
    <w:p>
      <w:pPr>
        <w:pStyle w:val="Heading1"/>
      </w:pPr>
      <w:r>
        <w:t>4. End-to-end lifecycle</w:t>
      </w:r>
    </w:p>
    <w:p>
      <w:pPr>
        <w:pStyle w:val="ListNumber"/>
      </w:pPr>
      <w:r>
        <w:t>Initialize governance and verify repository authority.</w:t>
      </w:r>
    </w:p>
    <w:p>
      <w:pPr>
        <w:pStyle w:val="ListNumber"/>
      </w:pPr>
      <w:r>
        <w:t>Approve product framing and design authority.</w:t>
      </w:r>
    </w:p>
    <w:p>
      <w:pPr>
        <w:pStyle w:val="ListNumber"/>
      </w:pPr>
      <w:r>
        <w:t>Create or refresh the architecture spine and proposed ADRs.</w:t>
      </w:r>
    </w:p>
    <w:p>
      <w:pPr>
        <w:pStyle w:val="ListNumber"/>
      </w:pPr>
      <w:r>
        <w:t>Owner reviews and accepts, amends, rejects, or defers ADRs.</w:t>
      </w:r>
    </w:p>
    <w:p>
      <w:pPr>
        <w:pStyle w:val="ListNumber"/>
      </w:pPr>
      <w:r>
        <w:t>Synchronize architecture, coverage, context, and readiness documents.</w:t>
      </w:r>
    </w:p>
    <w:p>
      <w:pPr>
        <w:pStyle w:val="ListNumber"/>
      </w:pPr>
      <w:r>
        <w:t>Select one bounded feature and create a feature input.</w:t>
      </w:r>
    </w:p>
    <w:p>
      <w:pPr>
        <w:pStyle w:val="ListNumber"/>
      </w:pPr>
      <w:r>
        <w:t>Run structured clarification and promote an approved feature contract.</w:t>
      </w:r>
    </w:p>
    <w:p>
      <w:pPr>
        <w:pStyle w:val="ListNumber"/>
      </w:pPr>
      <w:r>
        <w:t>Generate an architecture-aware implementation plan.</w:t>
      </w:r>
    </w:p>
    <w:p>
      <w:pPr>
        <w:pStyle w:val="ListNumber"/>
      </w:pPr>
      <w:r>
        <w:t>Run plan and architecture readiness reviews.</w:t>
      </w:r>
    </w:p>
    <w:p>
      <w:pPr>
        <w:pStyle w:val="ListNumber"/>
      </w:pPr>
      <w:r>
        <w:t>Generate dependency-ordered tasks from the approved contract and plan.</w:t>
      </w:r>
    </w:p>
    <w:p>
      <w:pPr>
        <w:pStyle w:val="ListNumber"/>
      </w:pPr>
      <w:r>
        <w:t>Run implementation readiness and authorize only a bounded slice.</w:t>
      </w:r>
    </w:p>
    <w:p>
      <w:pPr>
        <w:pStyle w:val="ListNumber"/>
      </w:pPr>
      <w:r>
        <w:t>Implement in small checkpoints with focused tests and evidence.</w:t>
      </w:r>
    </w:p>
    <w:p>
      <w:pPr>
        <w:pStyle w:val="ListNumber"/>
      </w:pPr>
      <w:r>
        <w:t>Run runtime, accessibility, privacy, performance, and release hardening.</w:t>
      </w:r>
    </w:p>
    <w:p>
      <w:pPr>
        <w:pStyle w:val="ListNumber"/>
      </w:pPr>
      <w:r>
        <w:t>Run documentation impact, consistency, fake detection, and PR review.</w:t>
      </w:r>
    </w:p>
    <w:p>
      <w:pPr>
        <w:pStyle w:val="ListNumber"/>
      </w:pPr>
      <w:r>
        <w:t>Stop for explicit merge, signing, distribution, and release authorization.</w:t>
      </w:r>
    </w:p>
    <w:p>
      <w:pPr>
        <w:pStyle w:val="ListNumber"/>
      </w:pPr>
      <w:r>
        <w:t>Record lessons and update reusable skills and checklists.</w:t>
      </w:r>
    </w:p>
    <w:p>
      <w:pPr>
        <w:pStyle w:val="Heading1"/>
      </w:pPr>
      <w:r>
        <w:t>5. Phase 0 - safe initialization</w:t>
      </w:r>
    </w:p>
    <w:p>
      <w:r>
        <w:t>Before feature work, verify that the repository has one authority model, protected branches, root AGENTS.md, AI_CONTEXT.md, a ratified constitution, workflow/version records, protected-boundary procedures, installed skills, CI intent, and documentation synchronization rules. Replace all placeholders.</w:t>
      </w:r>
    </w:p>
    <w:p>
      <w:pPr>
        <w:pStyle w:val="Heading3"/>
      </w:pPr>
      <w:r>
        <w:t>Agent prompt - repository governance audit</w:t>
      </w:r>
    </w:p>
    <w:tbl>
      <w:tblPr>
        <w:tblW w:type="auto" w:w="0"/>
        <w:jc w:val="center"/>
        <w:tblLayout w:type="autofit"/>
        <w:tblLook w:firstColumn="1" w:firstRow="1" w:lastColumn="0" w:lastRow="0" w:noHBand="0" w:noVBand="1" w:val="04A0"/>
      </w:tblPr>
      <w:tblGrid>
        <w:gridCol w:w="10080"/>
      </w:tblGrid>
      <w:tr>
        <w:tc>
          <w:tcPr>
            <w:tcW w:type="dxa" w:w="10080"/>
            <w:shd w:fill="F2F4F7"/>
            <w:tcMar>
              <w:top w:w="130" w:type="dxa"/>
              <w:start w:w="150" w:type="dxa"/>
              <w:bottom w:w="130" w:type="dxa"/>
              <w:end w:w="150" w:type="dxa"/>
            </w:tcMar>
          </w:tcPr>
          <w:p>
            <w:r>
              <w:rPr>
                <w:rFonts w:ascii="Aptos Mono" w:hAnsi="Aptos Mono"/>
                <w:sz w:val="17"/>
              </w:rPr>
              <w:t>Audit this repository for greenfield mobile governance readiness.</w:t>
              <w:br/>
              <w:br/>
              <w:t>Read first:</w:t>
              <w:br/>
              <w:t>- AGENTS.md and applicable platform overlay</w:t>
              <w:br/>
              <w:t>- AI_CONTEXT.md</w:t>
              <w:br/>
              <w:t>- AI_PLAYBOOK.md</w:t>
              <w:br/>
              <w:t>- repository constitution</w:t>
              <w:br/>
              <w:t>- docs/product/approved/PRD.md</w:t>
              <w:br/>
              <w:t>- docs/decisions/DECISION_REGISTER.md</w:t>
              <w:br/>
              <w:t>- docs/design/approved/DESIGN_AUTHORITY.md</w:t>
              <w:br/>
              <w:t>- docs/architecture/ARCHITECTURE_SPINE.md</w:t>
              <w:br/>
              <w:t>- architecture coverage and readiness files</w:t>
              <w:br/>
              <w:t>- applicable skills</w:t>
              <w:br/>
              <w:br/>
              <w:t>Report only verified facts. For each missing or conflicting item, record owner, blocker, next action, and required evidence. Do not modify production code, protected capabilities, signing, remote services, or release systems. Produce a governance-readiness report with PASS, BLOCKED, or NEEDS VERIFICATION for every required artifact.</w:t>
            </w:r>
          </w:p>
        </w:tc>
      </w:tr>
    </w:tbl>
    <w:p>
      <w:pPr>
        <w:pStyle w:val="Heading1"/>
      </w:pPr>
      <w:r>
        <w:t>6. Product and design authority</w:t>
      </w:r>
    </w:p>
    <w:p>
      <w:r>
        <w:t>The PRD defines product behavior and constraints. Approved design contracts define reviewed visual and interaction direction but cannot invent behavior absent from product authority. Generated designs remain exploratory until promoted by the design authority and artifact index.</w:t>
      </w:r>
    </w:p>
    <w:p>
      <w:r>
        <w:t>Before architecture or feature work, confirm actors, journeys, non-goals, offline behavior, identity, payments, integrations, data categories, privacy, localization, RTL, accessibility, supported form factors, success measures, and known owner decisions.</w:t>
      </w:r>
    </w:p>
    <w:p>
      <w:pPr>
        <w:pStyle w:val="Heading1"/>
      </w:pPr>
      <w:r>
        <w:t>7. Architecture before feature planning</w:t>
      </w:r>
    </w:p>
    <w:p>
      <w:r>
        <w:t>Create a coherent architecture spine before feature plans scale. It should describe the combined system: platform baseline, project structure, composition, presentation ownership, navigation, concurrency, data flow, persistence, recovery, localization, adaptation, accessibility, privacy, capabilities, background work, observability, testing, CI, release, and evidence.</w:t>
      </w:r>
    </w:p>
    <w:p>
      <w:r>
        <w:t>Create ADRs for hard-to-reverse or cross-feature choices. An agent proposes; the owner accepts. Existing repository configuration is evidence of the current state, not automatic architecture approval.</w:t>
      </w:r>
    </w:p>
    <w:p>
      <w:pPr>
        <w:pStyle w:val="Heading3"/>
      </w:pPr>
      <w:r>
        <w:t>Agent prompt - architecture package</w:t>
      </w:r>
    </w:p>
    <w:tbl>
      <w:tblPr>
        <w:tblW w:type="auto" w:w="0"/>
        <w:jc w:val="center"/>
        <w:tblLayout w:type="autofit"/>
        <w:tblLook w:firstColumn="1" w:firstRow="1" w:lastColumn="0" w:lastRow="0" w:noHBand="0" w:noVBand="1" w:val="04A0"/>
      </w:tblPr>
      <w:tblGrid>
        <w:gridCol w:w="10080"/>
      </w:tblGrid>
      <w:tr>
        <w:tc>
          <w:tcPr>
            <w:tcW w:type="dxa" w:w="10080"/>
            <w:shd w:fill="F2F4F7"/>
            <w:tcMar>
              <w:top w:w="130" w:type="dxa"/>
              <w:start w:w="150" w:type="dxa"/>
              <w:bottom w:w="130" w:type="dxa"/>
              <w:end w:w="150" w:type="dxa"/>
            </w:tcMar>
          </w:tcPr>
          <w:p>
            <w:r>
              <w:rPr>
                <w:rFonts w:ascii="Aptos Mono" w:hAnsi="Aptos Mono"/>
                <w:sz w:val="17"/>
              </w:rPr>
              <w:t>Create or refresh the mobile architecture package from verified repository evidence and approved product/design authority.</w:t>
              <w:br/>
              <w:br/>
              <w:t>Read all governance, PRD, design, repository, and platform skill inputs first. Produce:</w:t>
              <w:br/>
              <w:t>- ARCHITECTURE_SPINE.md</w:t>
              <w:br/>
              <w:t>- proposed or amended ADRs for every cross-feature decision</w:t>
              <w:br/>
              <w:t>- cross-feature-architecture-coverage.md</w:t>
              <w:br/>
              <w:t>- IMPLEMENTATION_READINESS_GATE.md updates</w:t>
              <w:br/>
              <w:br/>
              <w:t>For every ADR separate:</w:t>
              <w:br/>
              <w:t>1. verified repository facts</w:t>
              <w:br/>
              <w:t>2. product and governance constraints</w:t>
              <w:br/>
              <w:t>3. options considered</w:t>
              <w:br/>
              <w:t>4. proposed decision</w:t>
              <w:br/>
              <w:t>5. rationale and consequences</w:t>
              <w:br/>
              <w:t>6. risks</w:t>
              <w:br/>
              <w:t>7. unresolved owner questions</w:t>
              <w:br/>
              <w:t>8. implementation implications</w:t>
              <w:br/>
              <w:t>9. verification requirements</w:t>
              <w:br/>
              <w:t>10. inspected files and evidence</w:t>
              <w:br/>
              <w:br/>
              <w:t>Do not invent versions, deployment targets, providers, identifiers, dependencies, capabilities, signing settings, runtime results, or production configuration. Do not mark a new decision Accepted. Mark uncertainty Needs verification.</w:t>
            </w:r>
          </w:p>
        </w:tc>
      </w:tr>
    </w:tbl>
    <w:p>
      <w:pPr>
        <w:pStyle w:val="Heading1"/>
      </w:pPr>
      <w:r>
        <w:t>8. Platform architecture minimums</w:t>
      </w:r>
    </w:p>
    <w:p>
      <w:pPr>
        <w:pStyle w:val="Heading2"/>
      </w:pPr>
      <w:r>
        <w:t>8.1 Android</w:t>
      </w:r>
    </w:p>
    <w:p>
      <w:pPr>
        <w:pStyle w:val="ListBullet"/>
      </w:pPr>
      <w:r>
        <w:t>Verified Kotlin, JDK, Gradle, Android Gradle Plugin, compile/target/min SDK, and dependency versions.</w:t>
      </w:r>
    </w:p>
    <w:p>
      <w:pPr>
        <w:pStyle w:val="ListBullet"/>
      </w:pPr>
      <w:r>
        <w:t>Thin Activity and Application hosts; one approved composition root.</w:t>
      </w:r>
    </w:p>
    <w:p>
      <w:pPr>
        <w:pStyle w:val="ListBullet"/>
      </w:pPr>
      <w:r>
        <w:t>ViewModel and StateFlow ownership; route/content composable separation.</w:t>
      </w:r>
    </w:p>
    <w:p>
      <w:pPr>
        <w:pStyle w:val="ListBullet"/>
      </w:pPr>
      <w:r>
        <w:t>Feature presentation/domain/data ownership and allowed dependency directions.</w:t>
      </w:r>
    </w:p>
    <w:p>
      <w:pPr>
        <w:pStyle w:val="ListBullet"/>
      </w:pPr>
      <w:r>
        <w:t>Room or other persistence schema, migration, transaction, recovery, and process-death rules.</w:t>
      </w:r>
    </w:p>
    <w:p>
      <w:pPr>
        <w:pStyle w:val="ListBullet"/>
      </w:pPr>
      <w:r>
        <w:t>Compose localization, RTL, adaptive window behavior, accessibility, IME/insets, previews, tests, and runtime matrix.</w:t>
      </w:r>
    </w:p>
    <w:p>
      <w:pPr>
        <w:pStyle w:val="ListBullet"/>
      </w:pPr>
      <w:r>
        <w:t>Permissions, background work, notifications, Health Connect, billing, signing, and release as protected boundaries.</w:t>
      </w:r>
    </w:p>
    <w:p>
      <w:pPr>
        <w:pStyle w:val="Heading2"/>
      </w:pPr>
      <w:r>
        <w:t>8.2 iOS</w:t>
      </w:r>
    </w:p>
    <w:p>
      <w:pPr>
        <w:pStyle w:val="ListBullet"/>
      </w:pPr>
      <w:r>
        <w:t>Verified Xcode, Swift language mode, SDK, deployment target, targets, schemes, configurations, and SPM policy.</w:t>
      </w:r>
    </w:p>
    <w:p>
      <w:pPr>
        <w:pStyle w:val="ListBullet"/>
      </w:pPr>
      <w:r>
        <w:t>Thin App/scene hosts and one approved application composition root.</w:t>
      </w:r>
    </w:p>
    <w:p>
      <w:pPr>
        <w:pStyle w:val="ListBullet"/>
      </w:pPr>
      <w:r>
        <w:t>Swift Observation or approved presentation model; explicit MainActor and Swift Concurrency boundaries.</w:t>
      </w:r>
    </w:p>
    <w:p>
      <w:pPr>
        <w:pStyle w:val="ListBullet"/>
      </w:pPr>
      <w:r>
        <w:t>Feature presentation/domain/data/platform ownership and allowed target/package dependencies.</w:t>
      </w:r>
    </w:p>
    <w:p>
      <w:pPr>
        <w:pStyle w:val="ListBullet"/>
      </w:pPr>
      <w:r>
        <w:t>Persistence engine, versioned schema, migration, transaction, backup, deletion, and sensitive storage rules.</w:t>
      </w:r>
    </w:p>
    <w:p>
      <w:pPr>
        <w:pStyle w:val="ListBullet"/>
      </w:pPr>
      <w:r>
        <w:t>SwiftUI/UIKit route/container and render/content boundaries, localization, RTL, iPhone/iPad adaptation, Dynamic Type, VoiceOver, safe areas, keyboard and pointer behavior.</w:t>
      </w:r>
    </w:p>
    <w:p>
      <w:pPr>
        <w:pStyle w:val="ListBullet"/>
      </w:pPr>
      <w:r>
        <w:t>Privacy manifests, required-reason APIs, capabilities, StoreKit, App Attest, HealthKit, signing, archive, TestFlight, and release as protected boundaries.</w:t>
      </w:r>
    </w:p>
    <w:p>
      <w:pPr>
        <w:pStyle w:val="Heading1"/>
      </w:pPr>
      <w:r>
        <w:t>9. Owner ADR review and synchronization</w:t>
      </w:r>
    </w:p>
    <w:p>
      <w:r>
        <w:t>Review ADRs in dependency order. For each, choose Accepted, Accepted with amendments, Deferred, Rejected, or leave Proposed. Accepted amendments must update the canonical decision body; superseded wording is historical only.</w:t>
      </w:r>
    </w:p>
    <w:p>
      <w:r>
        <w:t>After owner review, direct the agent to synchronize: ADRs -&gt; architecture spine -&gt; coverage matrix -&gt; readiness gate -&gt; AI_CONTEXT.md -&gt; decision register. Any contradiction blocks affected work.</w:t>
      </w:r>
    </w:p>
    <w:p>
      <w:pPr>
        <w:pStyle w:val="Heading3"/>
      </w:pPr>
      <w:r>
        <w:t>Agent prompt - synchronize accepted architecture</w:t>
      </w:r>
    </w:p>
    <w:tbl>
      <w:tblPr>
        <w:tblW w:type="auto" w:w="0"/>
        <w:jc w:val="center"/>
        <w:tblLayout w:type="autofit"/>
        <w:tblLook w:firstColumn="1" w:firstRow="1" w:lastColumn="0" w:lastRow="0" w:noHBand="0" w:noVBand="1" w:val="04A0"/>
      </w:tblPr>
      <w:tblGrid>
        <w:gridCol w:w="10080"/>
      </w:tblGrid>
      <w:tr>
        <w:tc>
          <w:tcPr>
            <w:tcW w:type="dxa" w:w="10080"/>
            <w:shd w:fill="F2F4F7"/>
            <w:tcMar>
              <w:top w:w="130" w:type="dxa"/>
              <w:start w:w="150" w:type="dxa"/>
              <w:bottom w:w="130" w:type="dxa"/>
              <w:end w:w="150" w:type="dxa"/>
            </w:tcMar>
          </w:tcPr>
          <w:p>
            <w:r>
              <w:rPr>
                <w:rFonts w:ascii="Aptos Mono" w:hAnsi="Aptos Mono"/>
                <w:sz w:val="17"/>
              </w:rPr>
              <w:t>Apply the owner decisions recorded in the decision register to the ADR canonical decision bodies. Do not silently reinterpret decisions.</w:t>
              <w:br/>
              <w:br/>
              <w:t>Then synchronize:</w:t>
              <w:br/>
              <w:t>- ARCHITECTURE_SPINE.md</w:t>
              <w:br/>
              <w:t>- cross-feature-architecture-coverage.md</w:t>
              <w:br/>
              <w:t>- IMPLEMENTATION_READINESS_GATE.md</w:t>
              <w:br/>
              <w:t>- AI_CONTEXT.md</w:t>
              <w:br/>
              <w:t>- DECISION_REGISTER.md</w:t>
              <w:br/>
              <w:br/>
              <w:t>Use separate Decision, Implementation, and Evidence statuses. Mark every unresolved item with owner, blocker, next action, and required evidence. Run documentation-consistency-review and architecture-coverage-review. Do not implement feature code.</w:t>
            </w:r>
          </w:p>
        </w:tc>
      </w:tr>
    </w:tbl>
    <w:p>
      <w:pPr>
        <w:pStyle w:val="Heading1"/>
      </w:pPr>
      <w:r>
        <w:t>10. Bounded feature intake</w:t>
      </w:r>
    </w:p>
    <w:p>
      <w:r>
        <w:t>Select one bounded feature or walking-skeleton slice. Create a short FEATURE_INPUT.md or directly start the clarification session with the information below: purpose, actors, journeys, entry points, in-scope behavior, exclusions, PRD traceability, design references, protected boundaries, known assumptions, and unresolved questions.</w:t>
      </w:r>
    </w:p>
    <w:p>
      <w:pPr>
        <w:pStyle w:val="Heading1"/>
      </w:pPr>
      <w:r>
        <w:t>11. Structured clarification using an agent skill</w:t>
      </w:r>
    </w:p>
    <w:p>
      <w:r>
        <w:t>Use a GrillMe-style or feature-contract-clarification skill to expose missing behavior before planning. The agent asks only material questions, groups them by decision area, and writes owner answers into the canonical feature contract.</w:t>
      </w:r>
    </w:p>
    <w:p>
      <w:r>
        <w:t>Clarification must cover, where applicable: success and failure; cancellation and retry; offline and recovery; destructive actions; date/time/timezone; lifecycle/process death; identity and entitlement; multi-account/device; permissions; background work and notifications; privacy and consent; localization and RTL; accessibility; phone/tablet adaptation; rollout; and evidence expectations.</w:t>
      </w:r>
    </w:p>
    <w:p>
      <w:pPr>
        <w:pStyle w:val="Heading3"/>
      </w:pPr>
      <w:r>
        <w:t>Agent prompt - clarify and create the feature contract</w:t>
      </w:r>
    </w:p>
    <w:tbl>
      <w:tblPr>
        <w:tblW w:type="auto" w:w="0"/>
        <w:jc w:val="center"/>
        <w:tblLayout w:type="autofit"/>
        <w:tblLook w:firstColumn="1" w:firstRow="1" w:lastColumn="0" w:lastRow="0" w:noHBand="0" w:noVBand="1" w:val="04A0"/>
      </w:tblPr>
      <w:tblGrid>
        <w:gridCol w:w="10080"/>
      </w:tblGrid>
      <w:tr>
        <w:tc>
          <w:tcPr>
            <w:tcW w:type="dxa" w:w="10080"/>
            <w:shd w:fill="F2F4F7"/>
            <w:tcMar>
              <w:top w:w="130" w:type="dxa"/>
              <w:start w:w="150" w:type="dxa"/>
              <w:bottom w:w="130" w:type="dxa"/>
              <w:end w:w="150" w:type="dxa"/>
            </w:tcMar>
          </w:tcPr>
          <w:p>
            <w:r>
              <w:rPr>
                <w:rFonts w:ascii="Aptos Mono" w:hAnsi="Aptos Mono"/>
                <w:sz w:val="17"/>
              </w:rPr>
              <w:t>Create an owner-reviewable feature contract for &lt;FEATURE&gt;.</w:t>
              <w:br/>
              <w:br/>
              <w:t>Inputs:</w:t>
              <w:br/>
              <w:t>- approved PRD and decision register</w:t>
              <w:br/>
              <w:t>- approved design authority and screen contracts</w:t>
              <w:br/>
              <w:t>- accepted architecture spine and ADRs</w:t>
              <w:br/>
              <w:t>- AGENTS.md, AI_CONTEXT.md, constitution, playbook, and applicable skills</w:t>
              <w:br/>
              <w:t>- verified repository facts</w:t>
              <w:br/>
              <w:br/>
              <w:t>First run a structured clarification interview. Ask only questions whose answers change observable behavior, data lifecycle, architecture applicability, protected boundaries, or verification. Do not choose product behavior for the owner.</w:t>
              <w:br/>
              <w:br/>
              <w:t>Then write docs/features/&lt;feature&gt;/FEATURE_CONTRACT.md containing:</w:t>
              <w:br/>
              <w:t>- purpose and user outcome</w:t>
              <w:br/>
              <w:t>- actors and entry points</w:t>
              <w:br/>
              <w:t>- in-scope and non-goals</w:t>
              <w:br/>
              <w:t>- user journeys and observable acceptance scenarios</w:t>
              <w:br/>
              <w:t>- loading, empty, failure, offline, retry, cancellation, disabled, and success states</w:t>
              <w:br/>
              <w:t>- destructive actions and recovery</w:t>
              <w:br/>
              <w:t>- data lifecycle, historical behavior, date/time/timezone rules</w:t>
              <w:br/>
              <w:t>- privacy, consent, identity, entitlement, and protected boundaries</w:t>
              <w:br/>
              <w:t>- localization, RTL, accessibility, phone/tablet or iPhone/iPad behavior</w:t>
              <w:br/>
              <w:t>- non-functional outcomes and approved thresholds</w:t>
              <w:br/>
              <w:t>- entities and visible data concepts without framework choices</w:t>
              <w:br/>
              <w:t>- unresolved questions and stop conditions</w:t>
              <w:br/>
              <w:t>- PRD/design traceability</w:t>
              <w:br/>
              <w:br/>
              <w:t>Status must remain Draft until the owner explicitly approves it. No implementation mechanisms or file paths unless they are true product constraints.</w:t>
            </w:r>
          </w:p>
        </w:tc>
      </w:tr>
    </w:tbl>
    <w:p>
      <w:pPr>
        <w:pStyle w:val="Heading1"/>
      </w:pPr>
      <w:r>
        <w:t>12. Feature contract approval gate</w:t>
      </w:r>
    </w:p>
    <w:p>
      <w:r>
        <w:t>The owner reviews the feature contract. Implementation planning is blocked until all material questions are resolved or the owner explicitly authorizes a narrower slice that avoids them. Promote the document to Approved only through an explicit owner decision.</w:t>
      </w:r>
    </w:p>
    <w:p>
      <w:pPr>
        <w:pStyle w:val="Heading1"/>
      </w:pPr>
      <w:r>
        <w:t>13. Architecture-aware implementation plan</w:t>
      </w:r>
    </w:p>
    <w:p>
      <w:r>
        <w:t>The plan applies accepted architecture to the approved feature. It does not reopen ADRs silently and does not introduce product behavior. It must identify exact boundaries, state ownership, data flow, transactions, lifecycle, tests, runtime evidence, risks, and blockers.</w:t>
      </w:r>
    </w:p>
    <w:p>
      <w:pPr>
        <w:pStyle w:val="Heading3"/>
      </w:pPr>
      <w:r>
        <w:t>Agent prompt - implementation plan</w:t>
      </w:r>
    </w:p>
    <w:tbl>
      <w:tblPr>
        <w:tblW w:type="auto" w:w="0"/>
        <w:jc w:val="center"/>
        <w:tblLayout w:type="autofit"/>
        <w:tblLook w:firstColumn="1" w:firstRow="1" w:lastColumn="0" w:lastRow="0" w:noHBand="0" w:noVBand="1" w:val="04A0"/>
      </w:tblPr>
      <w:tblGrid>
        <w:gridCol w:w="10080"/>
      </w:tblGrid>
      <w:tr>
        <w:tc>
          <w:tcPr>
            <w:tcW w:type="dxa" w:w="10080"/>
            <w:shd w:fill="F2F4F7"/>
            <w:tcMar>
              <w:top w:w="130" w:type="dxa"/>
              <w:start w:w="150" w:type="dxa"/>
              <w:bottom w:w="130" w:type="dxa"/>
              <w:end w:w="150" w:type="dxa"/>
            </w:tcMar>
          </w:tcPr>
          <w:p>
            <w:r>
              <w:rPr>
                <w:rFonts w:ascii="Aptos Mono" w:hAnsi="Aptos Mono"/>
                <w:sz w:val="17"/>
              </w:rPr>
              <w:t>Create docs/features/&lt;feature&gt;/IMPLEMENTATION_PLAN.md from the approved FEATURE_CONTRACT.md.</w:t>
              <w:br/>
              <w:br/>
              <w:t>Read and apply:</w:t>
              <w:br/>
              <w:t>- AGENTS.md and platform overlay</w:t>
              <w:br/>
              <w:t>- AI_CONTEXT.md and AI_PLAYBOOK.md</w:t>
              <w:br/>
              <w:t>- constitution</w:t>
              <w:br/>
              <w:t>- PRD and decision register</w:t>
              <w:br/>
              <w:t>- approved design contracts</w:t>
              <w:br/>
              <w:t>- accepted architecture spine and applicable ADRs</w:t>
              <w:br/>
              <w:t>- project structure and current repository evidence</w:t>
              <w:br/>
              <w:t>- applicable platform skills</w:t>
              <w:br/>
              <w:br/>
              <w:t>The plan must include:</w:t>
              <w:br/>
              <w:t>1. scope and requirement traceability</w:t>
              <w:br/>
              <w:t>2. verified toolchain and affected targets/modules/packages</w:t>
              <w:br/>
              <w:t>3. source ownership and dependency direction</w:t>
              <w:br/>
              <w:t>4. composition and state owner/lifetime</w:t>
              <w:br/>
              <w:t>5. concurrency and cancellation</w:t>
              <w:br/>
              <w:t>6. navigation and restoration</w:t>
              <w:br/>
              <w:t>7. domain models and use cases</w:t>
              <w:br/>
              <w:t>8. repository contracts, persistence schema impact, transactions, idempotency, migrations, backup/deletion</w:t>
              <w:br/>
              <w:t>9. localization, RTL, adaptation, accessibility, input/IME/safe-area behavior</w:t>
              <w:br/>
              <w:t>10. privacy, permissions, capabilities, background work, and protected boundaries</w:t>
              <w:br/>
              <w:t>11. test strategy by evidence layer</w:t>
              <w:br/>
              <w:t>12. exact runtime/device/simulator evidence matrix and artifact paths</w:t>
              <w:br/>
              <w:t>13. performance and scalability risks</w:t>
              <w:br/>
              <w:t>14. documentation synchronization impact</w:t>
              <w:br/>
              <w:t>15. blockers, Needs verification items, and stop conditions</w:t>
              <w:br/>
              <w:br/>
              <w:t>Do not mark constitutional or runtime claims PASS merely because they are planned. Separate Decision coverage, Planned implementation, and Evidence not yet produced.</w:t>
            </w:r>
          </w:p>
        </w:tc>
      </w:tr>
    </w:tbl>
    <w:p>
      <w:pPr>
        <w:pStyle w:val="Heading1"/>
      </w:pPr>
      <w:r>
        <w:t>14. Plan review and readiness</w:t>
      </w:r>
    </w:p>
    <w:p>
      <w:r>
        <w:t>Run documentation consistency, architecture coverage, project-structure readiness, platform architecture readiness, persistence/migration readiness, screen readiness preflights, privacy/capability readiness, concurrency readiness, and runtime-evidence readiness as applicable. Any blocked verdict returns the feature to clarification, architecture, or planning.</w:t>
      </w:r>
    </w:p>
    <w:p>
      <w:pPr>
        <w:pStyle w:val="Heading1"/>
      </w:pPr>
      <w:r>
        <w:t>15. Dependency-ordered task checklist</w:t>
      </w:r>
    </w:p>
    <w:p>
      <w:r>
        <w:t>Generate tasks from the approved contract and reviewed plan using the repository-owned schema below. Do not use a generic external task template.</w:t>
      </w:r>
    </w:p>
    <w:p>
      <w:r>
        <w:t>Every task must contain:</w:t>
      </w:r>
    </w:p>
    <w:p>
      <w:pPr>
        <w:pStyle w:val="ListBullet"/>
      </w:pPr>
      <w:r>
        <w:t>ID and bounded outcome</w:t>
      </w:r>
    </w:p>
    <w:p>
      <w:pPr>
        <w:pStyle w:val="ListBullet"/>
      </w:pPr>
      <w:r>
        <w:t>Requirement and design trace</w:t>
      </w:r>
    </w:p>
    <w:p>
      <w:pPr>
        <w:pStyle w:val="ListBullet"/>
      </w:pPr>
      <w:r>
        <w:t>ADR/architecture trace</w:t>
      </w:r>
    </w:p>
    <w:p>
      <w:pPr>
        <w:pStyle w:val="ListBullet"/>
      </w:pPr>
      <w:r>
        <w:t>Exact location or boundary</w:t>
      </w:r>
    </w:p>
    <w:p>
      <w:pPr>
        <w:pStyle w:val="ListBullet"/>
      </w:pPr>
      <w:r>
        <w:t>Prerequisites and dependency order</w:t>
      </w:r>
    </w:p>
    <w:p>
      <w:pPr>
        <w:pStyle w:val="ListBullet"/>
      </w:pPr>
      <w:r>
        <w:t>Behavioral invariants</w:t>
      </w:r>
    </w:p>
    <w:p>
      <w:pPr>
        <w:pStyle w:val="ListBullet"/>
      </w:pPr>
      <w:r>
        <w:t>Prohibited patterns</w:t>
      </w:r>
    </w:p>
    <w:p>
      <w:pPr>
        <w:pStyle w:val="ListBullet"/>
      </w:pPr>
      <w:r>
        <w:t>Implementation work</w:t>
      </w:r>
    </w:p>
    <w:p>
      <w:pPr>
        <w:pStyle w:val="ListBullet"/>
      </w:pPr>
      <w:r>
        <w:t>Automated test obligations</w:t>
      </w:r>
    </w:p>
    <w:p>
      <w:pPr>
        <w:pStyle w:val="ListBullet"/>
      </w:pPr>
      <w:r>
        <w:t>Runtime evidence scenario where applicable</w:t>
      </w:r>
    </w:p>
    <w:p>
      <w:pPr>
        <w:pStyle w:val="ListBullet"/>
      </w:pPr>
      <w:r>
        <w:t>Evidence artifact path</w:t>
      </w:r>
    </w:p>
    <w:p>
      <w:pPr>
        <w:pStyle w:val="ListBullet"/>
      </w:pPr>
      <w:r>
        <w:t>Stop condition and completion rule</w:t>
      </w:r>
    </w:p>
    <w:p>
      <w:r>
        <w:t>For every UI screen, tasks must separately cover state contract, state holder, state tests, route/container wiring, render/content UI, resources, RTL, adaptation, accessibility, input/insets, previews, runtime evidence, and completion audit. For persistent behavior, tasks must cover domain contract, repository contract, schema impact, transaction ownership, idempotency, migration impact, failure/recovery, host tests, instrumented/persistent-store tests, and relaunch/process evidence.</w:t>
      </w:r>
    </w:p>
    <w:p>
      <w:pPr>
        <w:pStyle w:val="Heading3"/>
      </w:pPr>
      <w:r>
        <w:t>Agent prompt - generate tasks</w:t>
      </w:r>
    </w:p>
    <w:tbl>
      <w:tblPr>
        <w:tblW w:type="auto" w:w="0"/>
        <w:jc w:val="center"/>
        <w:tblLayout w:type="autofit"/>
        <w:tblLook w:firstColumn="1" w:firstRow="1" w:lastColumn="0" w:lastRow="0" w:noHBand="0" w:noVBand="1" w:val="04A0"/>
      </w:tblPr>
      <w:tblGrid>
        <w:gridCol w:w="10080"/>
      </w:tblGrid>
      <w:tr>
        <w:tc>
          <w:tcPr>
            <w:tcW w:type="dxa" w:w="10080"/>
            <w:shd w:fill="F2F4F7"/>
            <w:tcMar>
              <w:top w:w="130" w:type="dxa"/>
              <w:start w:w="150" w:type="dxa"/>
              <w:bottom w:w="130" w:type="dxa"/>
              <w:end w:w="150" w:type="dxa"/>
            </w:tcMar>
          </w:tcPr>
          <w:p>
            <w:r>
              <w:rPr>
                <w:rFonts w:ascii="Aptos Mono" w:hAnsi="Aptos Mono"/>
                <w:sz w:val="17"/>
              </w:rPr>
              <w:t>Create docs/features/&lt;feature&gt;/TASKS.md from the approved FEATURE_CONTRACT.md and reviewed IMPLEMENTATION_PLAN.md.</w:t>
              <w:br/>
              <w:br/>
              <w:t>Rules:</w:t>
              <w:br/>
              <w:t>- Tasks are dependency-ordered and implementation-ready.</w:t>
              <w:br/>
              <w:t>- A task may be marked parallel only when interfaces are stable and it has no dependency on incomplete work.</w:t>
              <w:br/>
              <w:t>- Tasks cannot introduce new product decisions.</w:t>
              <w:br/>
              <w:t>- File creation alone is never completion.</w:t>
              <w:br/>
              <w:t>- Screen readiness preflight occurs before UI implementation and completion audit occurs after it.</w:t>
              <w:br/>
              <w:t>- Host tests and instrumented/simulator/device tests remain distinct.</w:t>
              <w:br/>
              <w:t>- Transactions are implemented with the operation they protect, not deferred to polish.</w:t>
              <w:br/>
              <w:t>- Runtime evidence tasks specify environment, starting state, actions, expected result, actual result, artifact, and limitations.</w:t>
              <w:br/>
              <w:br/>
              <w:t>Each task includes:</w:t>
              <w:br/>
              <w:t>ID; outcome; requirement/design trace; ADR trace; exact boundary/path; prerequisites; invariants; prohibited patterns; implementation; tests; evidence; artifact path; stop condition.</w:t>
              <w:br/>
              <w:br/>
              <w:t>Inject applicable mobile obligations automatically:</w:t>
              <w:br/>
              <w:t>- lifecycle/restoration/process death or scene recreation</w:t>
              <w:br/>
              <w:t>- offline/failure/retry/cancellation</w:t>
              <w:br/>
              <w:t>- localization/RTL</w:t>
              <w:br/>
              <w:t>- accessibility and large text</w:t>
              <w:br/>
              <w:t>- adaptive phone/tablet or iPhone/iPad behavior</w:t>
              <w:br/>
              <w:t>- keyboard/IME/insets/safe areas/pointer where applicable</w:t>
              <w:br/>
              <w:t>- persistence transactions/migrations/idempotency</w:t>
              <w:br/>
              <w:t>- privacy/capability/protected-boundary checks</w:t>
              <w:br/>
              <w:t>- production-fake detection</w:t>
              <w:br/>
              <w:t>- documentation consistency and PR review</w:t>
              <w:br/>
              <w:br/>
              <w:t>At the end, output dependency graph, parallelism justification, blockers, and implementation-readiness recommendation.</w:t>
            </w:r>
          </w:p>
        </w:tc>
      </w:tr>
    </w:tbl>
    <w:p>
      <w:pPr>
        <w:pStyle w:val="Heading1"/>
      </w:pPr>
      <w:r>
        <w:t>16. Implementation readiness authorization</w:t>
      </w:r>
    </w:p>
    <w:p>
      <w:r>
        <w:t>Before code generation, run the mandatory readiness gate. A Draft contract, stale plan, unresolved ADR, wrong source boundary, missing screen contract, unproven persistence selection, absent localization/adaptation/accessibility contract, generic evidence label, or protected-boundary uncertainty blocks the affected work.</w:t>
      </w:r>
    </w:p>
    <w:p>
      <w:pPr>
        <w:pStyle w:val="Heading3"/>
      </w:pPr>
      <w:r>
        <w:t>Agent prompt - final readiness gate</w:t>
      </w:r>
    </w:p>
    <w:tbl>
      <w:tblPr>
        <w:tblW w:type="auto" w:w="0"/>
        <w:jc w:val="center"/>
        <w:tblLayout w:type="autofit"/>
        <w:tblLook w:firstColumn="1" w:firstRow="1" w:lastColumn="0" w:lastRow="0" w:noHBand="0" w:noVBand="1" w:val="04A0"/>
      </w:tblPr>
      <w:tblGrid>
        <w:gridCol w:w="10080"/>
      </w:tblGrid>
      <w:tr>
        <w:tc>
          <w:tcPr>
            <w:tcW w:type="dxa" w:w="10080"/>
            <w:shd w:fill="F2F4F7"/>
            <w:tcMar>
              <w:top w:w="130" w:type="dxa"/>
              <w:start w:w="150" w:type="dxa"/>
              <w:bottom w:w="130" w:type="dxa"/>
              <w:end w:w="150" w:type="dxa"/>
            </w:tcMar>
          </w:tcPr>
          <w:p>
            <w:r>
              <w:rPr>
                <w:rFonts w:ascii="Aptos Mono" w:hAnsi="Aptos Mono"/>
                <w:sz w:val="17"/>
              </w:rPr>
              <w:t>Run IMPLEMENTATION_READINESS_GATE.md for &lt;FEATURE&gt; using the approved contract, reviewed plan, tasks, architecture spine, ADRs, design contracts, and applicable skills.</w:t>
              <w:br/>
              <w:br/>
              <w:t>For every gate return PASS, BLOCKED, or justified N/A with evidence. Verify:</w:t>
              <w:br/>
              <w:t>- contract approval and requirement quality</w:t>
              <w:br/>
              <w:t>- architecture and documentation synchronization</w:t>
              <w:br/>
              <w:t>- project structure and composition</w:t>
              <w:br/>
              <w:t>- task dependency correctness</w:t>
              <w:br/>
              <w:t>- screen preflight completeness</w:t>
              <w:br/>
              <w:t>- persistence, transaction, migration, and lifecycle coverage</w:t>
              <w:br/>
              <w:t>- localization, RTL, adaptation, and accessibility coverage</w:t>
              <w:br/>
              <w:t>- privacy/capability/protected approvals</w:t>
              <w:br/>
              <w:t>- exact tests and runtime evidence artifacts</w:t>
              <w:br/>
              <w:t>- production-fake prevention</w:t>
              <w:br/>
              <w:br/>
              <w:t>Do not authorize implementation if any applicable blocker remains. Produce docs/features/&lt;feature&gt;/READINESS_REPORT.md.</w:t>
            </w:r>
          </w:p>
        </w:tc>
      </w:tr>
    </w:tbl>
    <w:p>
      <w:pPr>
        <w:pStyle w:val="Heading1"/>
      </w:pPr>
      <w:r>
        <w:t>17. Walking skeleton and first vertical slice</w:t>
      </w:r>
    </w:p>
    <w:p>
      <w:r>
        <w:t>Prove the toolchain and architecture with the smallest end-to-end outcome. It should build and boot on an approved runtime, use a thin platform host, approved composition, one bounded route/container and render/content screen, approved state owner, durable source of truth where applicable, localized strings, representative adaptation, accessibility semantics, focused tests, CI baseline, and explicit fail-closed protected configuration behavior.</w:t>
      </w:r>
    </w:p>
    <w:p>
      <w:pPr>
        <w:pStyle w:val="Heading1"/>
      </w:pPr>
      <w:r>
        <w:t>18. Bounded implementation with agents</w:t>
      </w:r>
    </w:p>
    <w:p>
      <w:r>
        <w:t>Implement one coherent task group at a time. The agent loads only the minimum required context, runs applicable preflights, implements, adds focused tests, executes named evidence, reviews the diff, synchronizes impacted documents, and stops at checkpoints. Never implement the whole product in one context window.</w:t>
      </w:r>
    </w:p>
    <w:p>
      <w:pPr>
        <w:pStyle w:val="Heading3"/>
      </w:pPr>
      <w:r>
        <w:t>Agent prompt - implement a bounded task group</w:t>
      </w:r>
    </w:p>
    <w:tbl>
      <w:tblPr>
        <w:tblW w:type="auto" w:w="0"/>
        <w:jc w:val="center"/>
        <w:tblLayout w:type="autofit"/>
        <w:tblLook w:firstColumn="1" w:firstRow="1" w:lastColumn="0" w:lastRow="0" w:noHBand="0" w:noVBand="1" w:val="04A0"/>
      </w:tblPr>
      <w:tblGrid>
        <w:gridCol w:w="10080"/>
      </w:tblGrid>
      <w:tr>
        <w:tc>
          <w:tcPr>
            <w:tcW w:type="dxa" w:w="10080"/>
            <w:shd w:fill="F2F4F7"/>
            <w:tcMar>
              <w:top w:w="130" w:type="dxa"/>
              <w:start w:w="150" w:type="dxa"/>
              <w:bottom w:w="130" w:type="dxa"/>
              <w:end w:w="150" w:type="dxa"/>
            </w:tcMar>
          </w:tcPr>
          <w:p>
            <w:r>
              <w:rPr>
                <w:rFonts w:ascii="Aptos Mono" w:hAnsi="Aptos Mono"/>
                <w:sz w:val="17"/>
              </w:rPr>
              <w:t>Implement only tasks &lt;TASK_IDS&gt; for &lt;FEATURE&gt;.</w:t>
              <w:br/>
              <w:br/>
              <w:t>Read the approved FEATURE_CONTRACT.md, IMPLEMENTATION_PLAN.md, TASKS.md, READINESS_REPORT.md, relevant ADRs, design contracts, AGENTS.md, AI_CONTEXT.md, and applicable skills.</w:t>
              <w:br/>
              <w:br/>
              <w:t>Before editing:</w:t>
              <w:br/>
              <w:t>- confirm prerequisites and stop conditions</w:t>
              <w:br/>
              <w:t>- run protected-boundary preflight where applicable</w:t>
              <w:br/>
              <w:t>- run screen/persistence/concurrency/privacy readiness procedures required by the tasks</w:t>
              <w:br/>
              <w:br/>
              <w:t>During implementation:</w:t>
              <w:br/>
              <w:t>- preserve approved ownership and dependency direction</w:t>
              <w:br/>
              <w:t>- do not invent behavior</w:t>
              <w:br/>
              <w:t>- do not add production fakes or silent fallback</w:t>
              <w:br/>
              <w:t>- keep hosts and leaf views thin</w:t>
              <w:br/>
              <w:t>- implement named tests and evidence only for this bounded group</w:t>
              <w:br/>
              <w:br/>
              <w:t>After implementation:</w:t>
              <w:br/>
              <w:t>- run exact commands and scenarios named by the tasks</w:t>
              <w:br/>
              <w:t>- record actual results and artifact paths</w:t>
              <w:br/>
              <w:t>- review the coherent diff</w:t>
              <w:br/>
              <w:t>- update task evidence and documentation impact</w:t>
              <w:br/>
              <w:t>- report unrun layers and remaining blockers</w:t>
              <w:br/>
              <w:br/>
              <w:t>Do not merge, sign, upload, distribute, access production, or perform remote mutations.</w:t>
            </w:r>
          </w:p>
        </w:tc>
      </w:tr>
    </w:tbl>
    <w:p>
      <w:pPr>
        <w:pStyle w:val="Heading1"/>
      </w:pPr>
      <w:r>
        <w:t>19. Verification and evidence</w:t>
      </w:r>
    </w:p>
    <w:p>
      <w:r>
        <w:t>Use the smallest useful evidence layer first: pure domain/state, repository contracts, persistent-store/migration tests, component semantics, navigation, integration, simulator/device journeys, external-service or attestation evidence, performance, archive/signing, and release smoke.</w:t>
      </w:r>
    </w:p>
    <w:p>
      <w:r>
        <w:t>Static inspection cannot prove runtime, lifecycle, accessibility, performance, background, security, provider, signing, or release claims. Every durable evidence artifact records revision, environment, command/session, device/runtime, starting state, actions, expected result, actual result, pass/fail, limitations, and linked logs/screenshots/results.</w:t>
      </w:r>
    </w:p>
    <w:p>
      <w:pPr>
        <w:pStyle w:val="Heading1"/>
      </w:pPr>
      <w:r>
        <w:t>20. Review, publication, and release</w:t>
      </w:r>
    </w:p>
    <w:p>
      <w:r>
        <w:t>Run production-fake detection, protected-boundary review, documentation impact, documentation consistency, architecture coverage, platform hardening skills, and coherent-diff PR review. Record commands actually run and unrun layers. Preparation may be read-only; merge, signing, archive, upload, TestFlight/internal testing, Play Console/App Store Connect, rollout, and production access require separate explicit authorization.</w:t>
      </w:r>
    </w:p>
    <w:p>
      <w:pPr>
        <w:pStyle w:val="Heading3"/>
      </w:pPr>
      <w:r>
        <w:t>Agent prompt - final review</w:t>
      </w:r>
    </w:p>
    <w:tbl>
      <w:tblPr>
        <w:tblW w:type="auto" w:w="0"/>
        <w:jc w:val="center"/>
        <w:tblLayout w:type="autofit"/>
        <w:tblLook w:firstColumn="1" w:firstRow="1" w:lastColumn="0" w:lastRow="0" w:noHBand="0" w:noVBand="1" w:val="04A0"/>
      </w:tblPr>
      <w:tblGrid>
        <w:gridCol w:w="10080"/>
      </w:tblGrid>
      <w:tr>
        <w:tc>
          <w:tcPr>
            <w:tcW w:type="dxa" w:w="10080"/>
            <w:shd w:fill="F2F4F7"/>
            <w:tcMar>
              <w:top w:w="130" w:type="dxa"/>
              <w:start w:w="150" w:type="dxa"/>
              <w:bottom w:w="130" w:type="dxa"/>
              <w:end w:w="150" w:type="dxa"/>
            </w:tcMar>
          </w:tcPr>
          <w:p>
            <w:r>
              <w:rPr>
                <w:rFonts w:ascii="Aptos Mono" w:hAnsi="Aptos Mono"/>
                <w:sz w:val="17"/>
              </w:rPr>
              <w:t>Review the complete coherent feature diff and all linked evidence.</w:t>
              <w:br/>
              <w:br/>
              <w:t>Run applicable:</w:t>
              <w:br/>
              <w:t>- production-fake-detection</w:t>
              <w:br/>
              <w:t>- protected-boundary-preflight</w:t>
              <w:br/>
              <w:t>- documentation-impact-assessment</w:t>
              <w:br/>
              <w:t>- documentation-consistency-review</w:t>
              <w:br/>
              <w:t>- architecture-coverage-review</w:t>
              <w:br/>
              <w:t>- platform screen, localization/RTL, adaptation/accessibility, persistence/migration, concurrency, privacy/capability, runtime-evidence skills</w:t>
              <w:br/>
              <w:t>- pr-review</w:t>
              <w:br/>
              <w:br/>
              <w:t>Report findings by severity with exact files and requirement/ADR traces. Verify that checked tasks cite executed evidence, not planned evidence. Distinguish build success, runtime success, release readiness, and launch readiness. Stop before merge, signing, upload, distribution, or production mutation.</w:t>
            </w:r>
          </w:p>
        </w:tc>
      </w:tr>
    </w:tbl>
    <w:p>
      <w:pPr>
        <w:pStyle w:val="Heading1"/>
      </w:pPr>
      <w:r>
        <w:t>21. Hooks, automation, and CI</w:t>
      </w:r>
    </w:p>
    <w:p>
      <w:r>
        <w:t>Hooks may remind or run deterministic read-only checks. They must not approve specifications, edit canonical contracts automatically, accept ADRs, merge, sign, publish, distribute, or access production. CI should run reproducible clean build, unit tests, applicable instrumented/simulator tests, localization checks, prohibited-pattern checks, static analysis already approved by the project, and publish evidence artifacts.</w:t>
      </w:r>
    </w:p>
    <w:p>
      <w:pPr>
        <w:pStyle w:val="Heading1"/>
      </w:pPr>
      <w:r>
        <w:t>22. Anti-patterns</w:t>
      </w:r>
    </w:p>
    <w:p>
      <w:pPr>
        <w:pStyle w:val="ListBullet"/>
      </w:pPr>
      <w:r>
        <w:t>Asking an agent to implement the entire app from the PRD.</w:t>
      </w:r>
    </w:p>
    <w:p>
      <w:pPr>
        <w:pStyle w:val="ListBullet"/>
      </w:pPr>
      <w:r>
        <w:t>Allowing tasks to become the first authority for product behavior.</w:t>
      </w:r>
    </w:p>
    <w:p>
      <w:pPr>
        <w:pStyle w:val="ListBullet"/>
      </w:pPr>
      <w:r>
        <w:t>Marking planning coverage as implementation or runtime evidence.</w:t>
      </w:r>
    </w:p>
    <w:p>
      <w:pPr>
        <w:pStyle w:val="ListBullet"/>
      </w:pPr>
      <w:r>
        <w:t>Creating global Base, Helpers, Extensions, Models, or DataManager dumping grounds.</w:t>
      </w:r>
    </w:p>
    <w:p>
      <w:pPr>
        <w:pStyle w:val="ListBullet"/>
      </w:pPr>
      <w:r>
        <w:t>Letting root hosts or leaf views own repositories, navigation, transactions, or provider calls.</w:t>
      </w:r>
    </w:p>
    <w:p>
      <w:pPr>
        <w:pStyle w:val="ListBullet"/>
      </w:pPr>
      <w:r>
        <w:t>Deferring transactions, migrations, accessibility, RTL, or evidence to polish.</w:t>
      </w:r>
    </w:p>
    <w:p>
      <w:pPr>
        <w:pStyle w:val="ListBullet"/>
      </w:pPr>
      <w:r>
        <w:t>Using preview, snapshot, compile, or source-existence evidence as proof of runtime behavior.</w:t>
      </w:r>
    </w:p>
    <w:p>
      <w:pPr>
        <w:pStyle w:val="ListBullet"/>
      </w:pPr>
      <w:r>
        <w:t>Accepting current tool-generated defaults as architecture without owner review.</w:t>
      </w:r>
    </w:p>
    <w:p>
      <w:pPr>
        <w:pStyle w:val="ListBullet"/>
      </w:pPr>
      <w:r>
        <w:t>Adding permissions, capabilities, packages, analytics, crash SDKs, signing, or production configuration without protected-boundary approval.</w:t>
      </w:r>
    </w:p>
    <w:p>
      <w:pPr>
        <w:pStyle w:val="ListBullet"/>
      </w:pPr>
      <w:r>
        <w:t>Checking tasks complete without actual evidence and limitations.</w:t>
      </w:r>
    </w:p>
    <w:p>
      <w:pPr>
        <w:pStyle w:val="Heading1"/>
      </w:pPr>
      <w:r>
        <w:t>23. Adoption checklist</w:t>
      </w:r>
    </w:p>
    <w:p>
      <w:pPr>
        <w:pStyle w:val="Heading2"/>
      </w:pPr>
      <w:r>
        <w:t>Before first feature</w:t>
      </w:r>
    </w:p>
    <w:p>
      <w:pPr>
        <w:pStyle w:val="ListBullet"/>
      </w:pPr>
      <w:r>
        <w:t>Governance artifacts exist and placeholders are removed.</w:t>
      </w:r>
    </w:p>
    <w:p>
      <w:pPr>
        <w:pStyle w:val="ListBullet"/>
      </w:pPr>
      <w:r>
        <w:t>Constitution is ratified.</w:t>
      </w:r>
    </w:p>
    <w:p>
      <w:pPr>
        <w:pStyle w:val="ListBullet"/>
      </w:pPr>
      <w:r>
        <w:t>PRD and design authority are approved.</w:t>
      </w:r>
    </w:p>
    <w:p>
      <w:pPr>
        <w:pStyle w:val="ListBullet"/>
      </w:pPr>
      <w:r>
        <w:t>Architecture spine and required ADRs are accepted and synchronized.</w:t>
      </w:r>
    </w:p>
    <w:p>
      <w:pPr>
        <w:pStyle w:val="ListBullet"/>
      </w:pPr>
      <w:r>
        <w:t>Project structure, composition, state ownership, concurrency, persistence, localization, adaptation, accessibility, CI, and protected boundaries are decided.</w:t>
      </w:r>
    </w:p>
    <w:p>
      <w:pPr>
        <w:pStyle w:val="Heading2"/>
      </w:pPr>
      <w:r>
        <w:t>Before implementation</w:t>
      </w:r>
    </w:p>
    <w:p>
      <w:pPr>
        <w:pStyle w:val="ListBullet"/>
      </w:pPr>
      <w:r>
        <w:t>Feature contract is approved.</w:t>
      </w:r>
    </w:p>
    <w:p>
      <w:pPr>
        <w:pStyle w:val="ListBullet"/>
      </w:pPr>
      <w:r>
        <w:t>Implementation plan is reviewed and synchronized.</w:t>
      </w:r>
    </w:p>
    <w:p>
      <w:pPr>
        <w:pStyle w:val="ListBullet"/>
      </w:pPr>
      <w:r>
        <w:t>Tasks use the repository-owned schema and dependency order is valid.</w:t>
      </w:r>
    </w:p>
    <w:p>
      <w:pPr>
        <w:pStyle w:val="ListBullet"/>
      </w:pPr>
      <w:r>
        <w:t>Readiness report passes all applicable gates.</w:t>
      </w:r>
    </w:p>
    <w:p>
      <w:pPr>
        <w:pStyle w:val="ListBullet"/>
      </w:pPr>
      <w:r>
        <w:t>Exact automated and runtime evidence scenarios are assigned.</w:t>
      </w:r>
    </w:p>
    <w:p>
      <w:pPr>
        <w:pStyle w:val="ListBullet"/>
      </w:pPr>
      <w:r>
        <w:t>Protected approvals are complete.</w:t>
      </w:r>
    </w:p>
    <w:p>
      <w:pPr>
        <w:pStyle w:val="Heading2"/>
      </w:pPr>
      <w:r>
        <w:t>Before completion</w:t>
      </w:r>
    </w:p>
    <w:p>
      <w:pPr>
        <w:pStyle w:val="ListBullet"/>
      </w:pPr>
      <w:r>
        <w:t>Implementation has converged without prohibited patterns.</w:t>
      </w:r>
    </w:p>
    <w:p>
      <w:pPr>
        <w:pStyle w:val="ListBullet"/>
      </w:pPr>
      <w:r>
        <w:t>All claimed tests and runtime scenarios actually ran.</w:t>
      </w:r>
    </w:p>
    <w:p>
      <w:pPr>
        <w:pStyle w:val="ListBullet"/>
      </w:pPr>
      <w:r>
        <w:t>RTL, adaptation, accessibility, privacy, lifecycle, performance, and release work is complete where applicable.</w:t>
      </w:r>
    </w:p>
    <w:p>
      <w:pPr>
        <w:pStyle w:val="ListBullet"/>
      </w:pPr>
      <w:r>
        <w:t>Evidence artifacts contain actual results and limitations.</w:t>
      </w:r>
    </w:p>
    <w:p>
      <w:pPr>
        <w:pStyle w:val="ListBullet"/>
      </w:pPr>
      <w:r>
        <w:t>Architecture and documentation are synchronized.</w:t>
      </w:r>
    </w:p>
    <w:p>
      <w:pPr>
        <w:pStyle w:val="ListBullet"/>
      </w:pPr>
      <w:r>
        <w:t>PR review has no blocking findings.</w:t>
      </w:r>
    </w:p>
    <w:p>
      <w:pPr>
        <w:pStyle w:val="ListBullet"/>
      </w:pPr>
      <w:r>
        <w:t>Merge/publication/release is explicitly authorized.</w:t>
      </w:r>
    </w:p>
    <w:p>
      <w:pPr>
        <w:pStyle w:val="Heading1"/>
      </w:pPr>
      <w:r>
        <w:t>24. Recommended minimal command sequence</w:t>
      </w:r>
    </w:p>
    <w:p>
      <w:r>
        <w:t>The command names are repository-defined; the lifecycle is stable:</w:t>
      </w:r>
    </w:p>
    <w:p>
      <w:pPr>
        <w:pStyle w:val="Heading3"/>
      </w:pPr>
      <w:r>
        <w:t>Agent command sequence</w:t>
      </w:r>
    </w:p>
    <w:tbl>
      <w:tblPr>
        <w:tblW w:type="auto" w:w="0"/>
        <w:jc w:val="center"/>
        <w:tblLayout w:type="autofit"/>
        <w:tblLook w:firstColumn="1" w:firstRow="1" w:lastColumn="0" w:lastRow="0" w:noHBand="0" w:noVBand="1" w:val="04A0"/>
      </w:tblPr>
      <w:tblGrid>
        <w:gridCol w:w="10080"/>
      </w:tblGrid>
      <w:tr>
        <w:tc>
          <w:tcPr>
            <w:tcW w:type="dxa" w:w="10080"/>
            <w:shd w:fill="F2F4F7"/>
            <w:tcMar>
              <w:top w:w="130" w:type="dxa"/>
              <w:start w:w="150" w:type="dxa"/>
              <w:bottom w:w="130" w:type="dxa"/>
              <w:end w:w="150" w:type="dxa"/>
            </w:tcMar>
          </w:tcPr>
          <w:p>
            <w:r>
              <w:rPr>
                <w:rFonts w:ascii="Aptos Mono" w:hAnsi="Aptos Mono"/>
                <w:sz w:val="17"/>
              </w:rPr>
              <w:t>1. Audit governance and repository facts.</w:t>
              <w:br/>
              <w:t>2. Create/update architecture package and proposed ADRs.</w:t>
              <w:br/>
              <w:t>3. Owner reviews ADRs.</w:t>
              <w:br/>
              <w:t>4. Synchronize accepted architecture.</w:t>
              <w:br/>
              <w:t>5. Select one bounded feature.</w:t>
              <w:br/>
              <w:t>6. Run clarification skill and create FEATURE_CONTRACT.md.</w:t>
              <w:br/>
              <w:t>7. Owner approves the feature contract.</w:t>
              <w:br/>
              <w:t>8. Generate IMPLEMENTATION_PLAN.md.</w:t>
              <w:br/>
              <w:t>9. Run plan and architecture readiness skills.</w:t>
              <w:br/>
              <w:t>10. Generate TASKS.md with the repository task schema.</w:t>
              <w:br/>
              <w:t>11. Run final readiness gate and create READINESS_REPORT.md.</w:t>
              <w:br/>
              <w:t>12. Implement one bounded task group.</w:t>
              <w:br/>
              <w:t>13. Execute tests and runtime evidence; update artifacts.</w:t>
              <w:br/>
              <w:t>14. Repeat bounded groups until converged.</w:t>
              <w:br/>
              <w:t>15. Run hardening, documentation, fake detection, and PR review.</w:t>
              <w:br/>
              <w:t>16. Stop for explicit merge/sign/distribute/release authorization.</w:t>
            </w:r>
          </w:p>
        </w:tc>
      </w:tr>
    </w:tbl>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Mobile Agent-Native Governance Playbook v2.0</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Greenfield Project Playbook - Mobile Agent-Native v2.0</dc:title>
  <dc:subject>Governance-native Android and iOS workflow without Spec Kit or BMAD</dc:subject>
  <dc:creator>python-docx</dc:creator>
  <cp:keywords/>
  <dc:description>Agent prompts, owner gates, architecture, feature contracts, planning, tasks, implementation, evidence, and release governance.</dc:description>
  <cp:lastModifiedBy/>
  <cp:revision>1</cp:revision>
  <dcterms:created xsi:type="dcterms:W3CDTF">2013-12-23T23:15:00Z</dcterms:created>
  <dcterms:modified xsi:type="dcterms:W3CDTF">2013-12-23T23:15:00Z</dcterms:modified>
  <cp:category/>
</cp:coreProperties>
</file>