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674B2" w14:textId="77777777" w:rsidR="00C405A1" w:rsidRPr="00DB2D06" w:rsidRDefault="00C405A1" w:rsidP="00C405A1">
      <w:pPr>
        <w:spacing w:line="480" w:lineRule="auto"/>
        <w:jc w:val="both"/>
        <w:outlineLvl w:val="1"/>
        <w:rPr>
          <w:rFonts w:ascii="Times New Roman" w:hAnsi="Times New Roman" w:cs="Times New Roman"/>
          <w:b/>
          <w:bCs/>
        </w:rPr>
      </w:pPr>
      <w:r w:rsidRPr="00DB2D06">
        <w:rPr>
          <w:rFonts w:ascii="Times New Roman" w:hAnsi="Times New Roman" w:cs="Times New Roman"/>
          <w:b/>
          <w:bCs/>
        </w:rPr>
        <w:t>General microbiota composition and impact of enteric challenge on diversity</w:t>
      </w:r>
    </w:p>
    <w:p w14:paraId="17A7C3AF" w14:textId="77777777" w:rsidR="00C405A1" w:rsidRPr="00DB2D06" w:rsidRDefault="00C405A1" w:rsidP="00C405A1">
      <w:pPr>
        <w:spacing w:line="480" w:lineRule="auto"/>
        <w:jc w:val="both"/>
        <w:outlineLvl w:val="1"/>
        <w:rPr>
          <w:rFonts w:ascii="Times New Roman" w:hAnsi="Times New Roman" w:cs="Times New Roman"/>
        </w:rPr>
      </w:pPr>
      <w:r w:rsidRPr="00DB2D06">
        <w:rPr>
          <w:rFonts w:ascii="Times New Roman" w:hAnsi="Times New Roman" w:cs="Times New Roman"/>
        </w:rPr>
        <w:t xml:space="preserve">Sequencing of the 16S rRNA gene yielded an average of 57,437 reads per sample. After rarefaction to 24,791 reads to normalize sequencing depth, 65 of 70 samples (92.9%) were retained for diversity analysis, identifying 2,391 unique ASVs across all samples. Consistent with previous studies in broilers (Borda-Molina et al., 2018; Oakley et al., 2014; Pan &amp; Yu, 2014), the jejunal microbiota was heavily dominated by Firmicutes (&gt;93%), primarily the family </w:t>
      </w:r>
      <w:proofErr w:type="spellStart"/>
      <w:r w:rsidRPr="00DB2D06">
        <w:rPr>
          <w:rFonts w:ascii="Times New Roman" w:hAnsi="Times New Roman" w:cs="Times New Roman"/>
        </w:rPr>
        <w:t>Lactobacillaceae</w:t>
      </w:r>
      <w:proofErr w:type="spellEnd"/>
      <w:r w:rsidRPr="00DB2D06">
        <w:rPr>
          <w:rFonts w:ascii="Times New Roman" w:hAnsi="Times New Roman" w:cs="Times New Roman"/>
        </w:rPr>
        <w:t xml:space="preserve"> (~90%) and genus </w:t>
      </w:r>
      <w:r w:rsidRPr="00DB2D06">
        <w:rPr>
          <w:rFonts w:ascii="Times New Roman" w:hAnsi="Times New Roman" w:cs="Times New Roman"/>
          <w:i/>
          <w:iCs/>
        </w:rPr>
        <w:t>Lactobacillus</w:t>
      </w:r>
      <w:r w:rsidRPr="00DB2D06">
        <w:rPr>
          <w:rFonts w:ascii="Times New Roman" w:hAnsi="Times New Roman" w:cs="Times New Roman"/>
        </w:rPr>
        <w:t> (~90%) (Fig. 4, 5, 6). Proteobacteria (mainly </w:t>
      </w:r>
      <w:r w:rsidRPr="00DB2D06">
        <w:rPr>
          <w:rFonts w:ascii="Times New Roman" w:hAnsi="Times New Roman" w:cs="Times New Roman"/>
          <w:i/>
          <w:iCs/>
        </w:rPr>
        <w:t>Escherichia-Shigella</w:t>
      </w:r>
      <w:r w:rsidRPr="00DB2D06">
        <w:rPr>
          <w:rFonts w:ascii="Times New Roman" w:hAnsi="Times New Roman" w:cs="Times New Roman"/>
        </w:rPr>
        <w:t xml:space="preserve">) constituted the second most abundant phylum (~6%), while </w:t>
      </w:r>
      <w:proofErr w:type="spellStart"/>
      <w:r w:rsidRPr="00DB2D06">
        <w:rPr>
          <w:rFonts w:ascii="Times New Roman" w:hAnsi="Times New Roman" w:cs="Times New Roman"/>
        </w:rPr>
        <w:t>Bacteroidota</w:t>
      </w:r>
      <w:proofErr w:type="spellEnd"/>
      <w:r w:rsidRPr="00DB2D06">
        <w:rPr>
          <w:rFonts w:ascii="Times New Roman" w:hAnsi="Times New Roman" w:cs="Times New Roman"/>
        </w:rPr>
        <w:t xml:space="preserve"> and </w:t>
      </w:r>
      <w:proofErr w:type="spellStart"/>
      <w:r w:rsidRPr="00DB2D06">
        <w:rPr>
          <w:rFonts w:ascii="Times New Roman" w:hAnsi="Times New Roman" w:cs="Times New Roman"/>
        </w:rPr>
        <w:t>Actinobacteriota</w:t>
      </w:r>
      <w:proofErr w:type="spellEnd"/>
      <w:r w:rsidRPr="00DB2D06">
        <w:rPr>
          <w:rFonts w:ascii="Times New Roman" w:hAnsi="Times New Roman" w:cs="Times New Roman"/>
        </w:rPr>
        <w:t xml:space="preserve"> were minor members (&lt;0.2%).</w:t>
      </w:r>
    </w:p>
    <w:p w14:paraId="1A0ABD16" w14:textId="77777777" w:rsidR="00C405A1" w:rsidRPr="00DB2D06" w:rsidRDefault="00C405A1" w:rsidP="00C405A1">
      <w:pPr>
        <w:spacing w:line="480" w:lineRule="auto"/>
        <w:jc w:val="both"/>
        <w:outlineLvl w:val="1"/>
        <w:rPr>
          <w:rFonts w:ascii="Times New Roman" w:hAnsi="Times New Roman" w:cs="Times New Roman"/>
        </w:rPr>
      </w:pPr>
      <w:r w:rsidRPr="00DB2D06">
        <w:rPr>
          <w:rFonts w:ascii="Times New Roman" w:hAnsi="Times New Roman" w:cs="Times New Roman"/>
        </w:rPr>
        <w:t>Alpha diversity analysis revealed significant differences among treatment groups in Observed ASV richness (Kruskal-Wallis, P = 0.001) and Fisher's alpha diversity (P = 0.002), while Shannon and Simpson diversity indices showed no significant differences (P &gt; 0.10) (Fig. 7). Post-hoc Dunn's tests indicated that both L</w:t>
      </w:r>
      <w:r w:rsidRPr="00001E06">
        <w:rPr>
          <w:rFonts w:ascii="Times New Roman" w:hAnsi="Times New Roman" w:cs="Times New Roman"/>
          <w:vertAlign w:val="subscript"/>
        </w:rPr>
        <w:t>F</w:t>
      </w:r>
      <w:r w:rsidRPr="00DB2D06">
        <w:rPr>
          <w:rFonts w:ascii="Times New Roman" w:hAnsi="Times New Roman" w:cs="Times New Roman"/>
        </w:rPr>
        <w:t xml:space="preserve"> and R</w:t>
      </w:r>
      <w:r w:rsidRPr="00DB2D06">
        <w:rPr>
          <w:rFonts w:ascii="Times New Roman" w:hAnsi="Times New Roman" w:cs="Times New Roman"/>
          <w:vertAlign w:val="subscript"/>
        </w:rPr>
        <w:t>C</w:t>
      </w:r>
      <w:r w:rsidRPr="00DB2D06">
        <w:rPr>
          <w:rFonts w:ascii="Times New Roman" w:hAnsi="Times New Roman" w:cs="Times New Roman"/>
        </w:rPr>
        <w:t xml:space="preserve"> treatments had significantly lower Observed ASV richness compared to the unchallenged control (NC) group (P</w:t>
      </w:r>
      <w:r w:rsidRPr="00E91202">
        <w:rPr>
          <w:rFonts w:ascii="Times New Roman" w:hAnsi="Times New Roman" w:cs="Times New Roman"/>
          <w:vertAlign w:val="subscript"/>
        </w:rPr>
        <w:t>adj</w:t>
      </w:r>
      <w:r w:rsidRPr="00DB2D06">
        <w:rPr>
          <w:rFonts w:ascii="Times New Roman" w:hAnsi="Times New Roman" w:cs="Times New Roman"/>
        </w:rPr>
        <w:t xml:space="preserve"> = 0.008 and P</w:t>
      </w:r>
      <w:r w:rsidRPr="00E91202">
        <w:rPr>
          <w:rFonts w:ascii="Times New Roman" w:hAnsi="Times New Roman" w:cs="Times New Roman"/>
          <w:vertAlign w:val="subscript"/>
        </w:rPr>
        <w:t>adj</w:t>
      </w:r>
      <w:r w:rsidRPr="00DB2D06">
        <w:rPr>
          <w:rFonts w:ascii="Times New Roman" w:hAnsi="Times New Roman" w:cs="Times New Roman"/>
        </w:rPr>
        <w:t xml:space="preserve"> = 0.017, respectively) and the adequate calcium, fine particle challenged group (</w:t>
      </w:r>
      <w:r>
        <w:rPr>
          <w:rFonts w:ascii="Times New Roman" w:hAnsi="Times New Roman" w:cs="Times New Roman"/>
        </w:rPr>
        <w:t>A</w:t>
      </w:r>
      <w:r w:rsidRPr="00001E06">
        <w:rPr>
          <w:rFonts w:ascii="Times New Roman" w:hAnsi="Times New Roman" w:cs="Times New Roman"/>
          <w:vertAlign w:val="subscript"/>
        </w:rPr>
        <w:t>F</w:t>
      </w:r>
      <w:r w:rsidRPr="00DB2D06">
        <w:rPr>
          <w:rFonts w:ascii="Times New Roman" w:hAnsi="Times New Roman" w:cs="Times New Roman"/>
        </w:rPr>
        <w:t>) (P</w:t>
      </w:r>
      <w:r w:rsidRPr="00E91202">
        <w:rPr>
          <w:rFonts w:ascii="Times New Roman" w:hAnsi="Times New Roman" w:cs="Times New Roman"/>
          <w:vertAlign w:val="subscript"/>
        </w:rPr>
        <w:t>adj</w:t>
      </w:r>
      <w:r w:rsidRPr="00DB2D06">
        <w:rPr>
          <w:rFonts w:ascii="Times New Roman" w:hAnsi="Times New Roman" w:cs="Times New Roman"/>
        </w:rPr>
        <w:t xml:space="preserve"> = 0.008 and P</w:t>
      </w:r>
      <w:r w:rsidRPr="00E91202">
        <w:rPr>
          <w:rFonts w:ascii="Times New Roman" w:hAnsi="Times New Roman" w:cs="Times New Roman"/>
          <w:vertAlign w:val="subscript"/>
        </w:rPr>
        <w:t>adj</w:t>
      </w:r>
      <w:r w:rsidRPr="00DB2D06">
        <w:rPr>
          <w:rFonts w:ascii="Times New Roman" w:hAnsi="Times New Roman" w:cs="Times New Roman"/>
        </w:rPr>
        <w:t xml:space="preserve"> = 0.012, respectively). Dietary calcium concentration also significantly influenced jejunal microbial richness (Observed ASVs, P = 0.040; Fisher's alpha, P = 0.037; Kruskal-Wallis main effect test excluding NC). Adequate calcium diets supported higher microbial richness compared to low calcium diets (Fig. 7A, 7D), with post-hoc Dunn's tests showing adequate calcium had significantly higher Fisher's alpha than low calcium (P</w:t>
      </w:r>
      <w:r w:rsidRPr="00E91202">
        <w:rPr>
          <w:rFonts w:ascii="Times New Roman" w:hAnsi="Times New Roman" w:cs="Times New Roman"/>
          <w:vertAlign w:val="subscript"/>
        </w:rPr>
        <w:t>adj</w:t>
      </w:r>
      <w:r w:rsidRPr="00DB2D06">
        <w:rPr>
          <w:rFonts w:ascii="Times New Roman" w:hAnsi="Times New Roman" w:cs="Times New Roman"/>
        </w:rPr>
        <w:t xml:space="preserve"> = 0.043). Limestone particle size did not significantly influence alpha diversity measures (Kruskal-Wallis P &gt; 0.31). These findings suggest that the enteric challenge reduced richness, particularly under specific low</w:t>
      </w:r>
      <w:r>
        <w:rPr>
          <w:rFonts w:ascii="Times New Roman" w:hAnsi="Times New Roman" w:cs="Times New Roman"/>
        </w:rPr>
        <w:t xml:space="preserve"> and </w:t>
      </w:r>
      <w:r w:rsidRPr="00DB2D06">
        <w:rPr>
          <w:rFonts w:ascii="Times New Roman" w:hAnsi="Times New Roman" w:cs="Times New Roman"/>
        </w:rPr>
        <w:t>reduced calcium conditions, while adequate dietary calcium helped maintain richness (Paiva et al., 2013).</w:t>
      </w:r>
    </w:p>
    <w:p w14:paraId="2904A46C" w14:textId="77777777" w:rsidR="00C405A1" w:rsidRPr="00DB2D06" w:rsidRDefault="00C405A1" w:rsidP="00C405A1">
      <w:pPr>
        <w:spacing w:line="480" w:lineRule="auto"/>
        <w:jc w:val="both"/>
        <w:outlineLvl w:val="1"/>
        <w:rPr>
          <w:rFonts w:ascii="Times New Roman" w:hAnsi="Times New Roman" w:cs="Times New Roman"/>
        </w:rPr>
      </w:pPr>
      <w:r w:rsidRPr="00DB2D06">
        <w:rPr>
          <w:rFonts w:ascii="Times New Roman" w:hAnsi="Times New Roman" w:cs="Times New Roman"/>
        </w:rPr>
        <w:lastRenderedPageBreak/>
        <w:t>The </w:t>
      </w:r>
      <w:r w:rsidRPr="00DB2D06">
        <w:rPr>
          <w:rFonts w:ascii="Times New Roman" w:hAnsi="Times New Roman" w:cs="Times New Roman"/>
          <w:i/>
          <w:iCs/>
        </w:rPr>
        <w:t>Eimeria</w:t>
      </w:r>
      <w:r w:rsidRPr="00DB2D06">
        <w:rPr>
          <w:rFonts w:ascii="Times New Roman" w:hAnsi="Times New Roman" w:cs="Times New Roman"/>
        </w:rPr>
        <w:t> spp. and </w:t>
      </w:r>
      <w:r w:rsidRPr="00DB2D06">
        <w:rPr>
          <w:rFonts w:ascii="Times New Roman" w:hAnsi="Times New Roman" w:cs="Times New Roman"/>
          <w:i/>
          <w:iCs/>
        </w:rPr>
        <w:t>C. perfringens</w:t>
      </w:r>
      <w:r w:rsidRPr="00DB2D06">
        <w:rPr>
          <w:rFonts w:ascii="Times New Roman" w:hAnsi="Times New Roman" w:cs="Times New Roman"/>
        </w:rPr>
        <w:t xml:space="preserve"> co-infection significantly altered the overall jejunal microbial ecosystem structure. Beta diversity analysis revealed distinct clustering based on treatment groups across multiple distance metrics, including Bray-Curtis (PERMANOVA, P = 0.001), Jaccard (P = 0.001), and Unweighted </w:t>
      </w:r>
      <w:proofErr w:type="spellStart"/>
      <w:r w:rsidRPr="00DB2D06">
        <w:rPr>
          <w:rFonts w:ascii="Times New Roman" w:hAnsi="Times New Roman" w:cs="Times New Roman"/>
        </w:rPr>
        <w:t>UniFrac</w:t>
      </w:r>
      <w:proofErr w:type="spellEnd"/>
      <w:r w:rsidRPr="00DB2D06">
        <w:rPr>
          <w:rFonts w:ascii="Times New Roman" w:hAnsi="Times New Roman" w:cs="Times New Roman"/>
        </w:rPr>
        <w:t xml:space="preserve"> (P = 0.009), while Weighted </w:t>
      </w:r>
      <w:proofErr w:type="spellStart"/>
      <w:r w:rsidRPr="00DB2D06">
        <w:rPr>
          <w:rFonts w:ascii="Times New Roman" w:hAnsi="Times New Roman" w:cs="Times New Roman"/>
        </w:rPr>
        <w:t>UniFrac</w:t>
      </w:r>
      <w:proofErr w:type="spellEnd"/>
      <w:r w:rsidRPr="00DB2D06">
        <w:rPr>
          <w:rFonts w:ascii="Times New Roman" w:hAnsi="Times New Roman" w:cs="Times New Roman"/>
        </w:rPr>
        <w:t xml:space="preserve"> showed no significant difference (P = 0.335) (Fig. 8). Pairwise PERMANOVA indicated that the NC group differed significantly from challenged treatments, particularly L</w:t>
      </w:r>
      <w:r w:rsidRPr="00001E06">
        <w:rPr>
          <w:rFonts w:ascii="Times New Roman" w:hAnsi="Times New Roman" w:cs="Times New Roman"/>
          <w:vertAlign w:val="subscript"/>
        </w:rPr>
        <w:t>F</w:t>
      </w:r>
      <w:r w:rsidRPr="00DB2D06">
        <w:rPr>
          <w:rFonts w:ascii="Times New Roman" w:hAnsi="Times New Roman" w:cs="Times New Roman"/>
        </w:rPr>
        <w:t xml:space="preserve"> (Bray-Curtis P</w:t>
      </w:r>
      <w:r w:rsidRPr="00E91202">
        <w:rPr>
          <w:rFonts w:ascii="Times New Roman" w:hAnsi="Times New Roman" w:cs="Times New Roman"/>
          <w:vertAlign w:val="subscript"/>
        </w:rPr>
        <w:t>adj</w:t>
      </w:r>
      <w:r w:rsidRPr="00DB2D06">
        <w:rPr>
          <w:rFonts w:ascii="Times New Roman" w:hAnsi="Times New Roman" w:cs="Times New Roman"/>
        </w:rPr>
        <w:t xml:space="preserve"> = 0.001) and RC (Bray-Curtis P</w:t>
      </w:r>
      <w:r w:rsidRPr="00E91202">
        <w:rPr>
          <w:rFonts w:ascii="Times New Roman" w:hAnsi="Times New Roman" w:cs="Times New Roman"/>
          <w:vertAlign w:val="subscript"/>
        </w:rPr>
        <w:t>adj</w:t>
      </w:r>
      <w:r w:rsidRPr="00DB2D06">
        <w:rPr>
          <w:rFonts w:ascii="Times New Roman" w:hAnsi="Times New Roman" w:cs="Times New Roman"/>
        </w:rPr>
        <w:t xml:space="preserve"> = 0.018), but also R</w:t>
      </w:r>
      <w:r w:rsidRPr="00001E06">
        <w:rPr>
          <w:rFonts w:ascii="Times New Roman" w:hAnsi="Times New Roman" w:cs="Times New Roman"/>
          <w:vertAlign w:val="subscript"/>
        </w:rPr>
        <w:t>F</w:t>
      </w:r>
      <w:r w:rsidRPr="00DB2D06">
        <w:rPr>
          <w:rFonts w:ascii="Times New Roman" w:hAnsi="Times New Roman" w:cs="Times New Roman"/>
        </w:rPr>
        <w:t xml:space="preserve"> (Bray-Curtis P</w:t>
      </w:r>
      <w:r w:rsidRPr="00E91202">
        <w:rPr>
          <w:rFonts w:ascii="Times New Roman" w:hAnsi="Times New Roman" w:cs="Times New Roman"/>
          <w:vertAlign w:val="subscript"/>
        </w:rPr>
        <w:t>adj</w:t>
      </w:r>
      <w:r w:rsidRPr="00DB2D06">
        <w:rPr>
          <w:rFonts w:ascii="Times New Roman" w:hAnsi="Times New Roman" w:cs="Times New Roman"/>
        </w:rPr>
        <w:t xml:space="preserve"> = 0.001), </w:t>
      </w:r>
      <w:r>
        <w:rPr>
          <w:rFonts w:ascii="Times New Roman" w:hAnsi="Times New Roman" w:cs="Times New Roman"/>
        </w:rPr>
        <w:t>AC</w:t>
      </w:r>
      <w:r w:rsidRPr="00DB2D06">
        <w:rPr>
          <w:rFonts w:ascii="Times New Roman" w:hAnsi="Times New Roman" w:cs="Times New Roman"/>
        </w:rPr>
        <w:t xml:space="preserve"> (Bray-Curtis P</w:t>
      </w:r>
      <w:r w:rsidRPr="00E91202">
        <w:rPr>
          <w:rFonts w:ascii="Times New Roman" w:hAnsi="Times New Roman" w:cs="Times New Roman"/>
          <w:vertAlign w:val="subscript"/>
        </w:rPr>
        <w:t>adj</w:t>
      </w:r>
      <w:r w:rsidRPr="00DB2D06">
        <w:rPr>
          <w:rFonts w:ascii="Times New Roman" w:hAnsi="Times New Roman" w:cs="Times New Roman"/>
        </w:rPr>
        <w:t xml:space="preserve"> = 0.005), and LC (Bray-Curtis P</w:t>
      </w:r>
      <w:r w:rsidRPr="00E91202">
        <w:rPr>
          <w:rFonts w:ascii="Times New Roman" w:hAnsi="Times New Roman" w:cs="Times New Roman"/>
          <w:vertAlign w:val="subscript"/>
        </w:rPr>
        <w:t>adj</w:t>
      </w:r>
      <w:r w:rsidRPr="00DB2D06">
        <w:rPr>
          <w:rFonts w:ascii="Times New Roman" w:hAnsi="Times New Roman" w:cs="Times New Roman"/>
        </w:rPr>
        <w:t xml:space="preserve"> = 0.005). Although calcium concentration and particle size did not show statistically significant main effects on overall community structure (PERMANOVA P &gt; 0.10 and P &gt; 0.27, respectively), specific pairwise comparisons between challenged groups revealed dietary influences, such as </w:t>
      </w:r>
      <w:r>
        <w:rPr>
          <w:rFonts w:ascii="Times New Roman" w:hAnsi="Times New Roman" w:cs="Times New Roman"/>
        </w:rPr>
        <w:t>A</w:t>
      </w:r>
      <w:r w:rsidRPr="00001E06">
        <w:rPr>
          <w:rFonts w:ascii="Times New Roman" w:hAnsi="Times New Roman" w:cs="Times New Roman"/>
          <w:vertAlign w:val="subscript"/>
        </w:rPr>
        <w:t>F</w:t>
      </w:r>
      <w:r w:rsidRPr="00DB2D06">
        <w:rPr>
          <w:rFonts w:ascii="Times New Roman" w:hAnsi="Times New Roman" w:cs="Times New Roman"/>
        </w:rPr>
        <w:t xml:space="preserve"> clustering separately from R</w:t>
      </w:r>
      <w:r w:rsidRPr="00001E06">
        <w:rPr>
          <w:rFonts w:ascii="Times New Roman" w:hAnsi="Times New Roman" w:cs="Times New Roman"/>
          <w:vertAlign w:val="subscript"/>
        </w:rPr>
        <w:t>F</w:t>
      </w:r>
      <w:r w:rsidRPr="00DB2D06">
        <w:rPr>
          <w:rFonts w:ascii="Times New Roman" w:hAnsi="Times New Roman" w:cs="Times New Roman"/>
        </w:rPr>
        <w:t xml:space="preserve"> (Bray-Curtis P</w:t>
      </w:r>
      <w:r w:rsidRPr="00E91202">
        <w:rPr>
          <w:rFonts w:ascii="Times New Roman" w:hAnsi="Times New Roman" w:cs="Times New Roman"/>
          <w:vertAlign w:val="subscript"/>
        </w:rPr>
        <w:t>adj</w:t>
      </w:r>
      <w:r w:rsidRPr="00DB2D06">
        <w:rPr>
          <w:rFonts w:ascii="Times New Roman" w:hAnsi="Times New Roman" w:cs="Times New Roman"/>
        </w:rPr>
        <w:t xml:space="preserve"> = 0.043) and L</w:t>
      </w:r>
      <w:r w:rsidRPr="00001E06">
        <w:rPr>
          <w:rFonts w:ascii="Times New Roman" w:hAnsi="Times New Roman" w:cs="Times New Roman"/>
          <w:vertAlign w:val="subscript"/>
        </w:rPr>
        <w:t>F</w:t>
      </w:r>
      <w:r w:rsidRPr="00DB2D06">
        <w:rPr>
          <w:rFonts w:ascii="Times New Roman" w:hAnsi="Times New Roman" w:cs="Times New Roman"/>
        </w:rPr>
        <w:t xml:space="preserve"> (Bray-Curtis P</w:t>
      </w:r>
      <w:r w:rsidRPr="00E91202">
        <w:rPr>
          <w:rFonts w:ascii="Times New Roman" w:hAnsi="Times New Roman" w:cs="Times New Roman"/>
          <w:vertAlign w:val="subscript"/>
        </w:rPr>
        <w:t>adj</w:t>
      </w:r>
      <w:r w:rsidRPr="00DB2D06">
        <w:rPr>
          <w:rFonts w:ascii="Times New Roman" w:hAnsi="Times New Roman" w:cs="Times New Roman"/>
        </w:rPr>
        <w:t xml:space="preserve"> = 0.039) (Fig. 8). This clear separation between NC and challenged groups signifies a substantial challenge-induced shift in microbial structure, a common feature of enteric diseases and dysbiosis (</w:t>
      </w:r>
      <w:proofErr w:type="spellStart"/>
      <w:r w:rsidRPr="00DB2D06">
        <w:rPr>
          <w:rFonts w:ascii="Times New Roman" w:hAnsi="Times New Roman" w:cs="Times New Roman"/>
        </w:rPr>
        <w:t>Antonissen</w:t>
      </w:r>
      <w:proofErr w:type="spellEnd"/>
      <w:r w:rsidRPr="00DB2D06">
        <w:rPr>
          <w:rFonts w:ascii="Times New Roman" w:hAnsi="Times New Roman" w:cs="Times New Roman"/>
        </w:rPr>
        <w:t xml:space="preserve"> et al., 2016; </w:t>
      </w:r>
      <w:proofErr w:type="spellStart"/>
      <w:r w:rsidRPr="00DB2D06">
        <w:rPr>
          <w:rFonts w:ascii="Times New Roman" w:hAnsi="Times New Roman" w:cs="Times New Roman"/>
        </w:rPr>
        <w:t>Ducatelle</w:t>
      </w:r>
      <w:proofErr w:type="spellEnd"/>
      <w:r w:rsidRPr="00DB2D06">
        <w:rPr>
          <w:rFonts w:ascii="Times New Roman" w:hAnsi="Times New Roman" w:cs="Times New Roman"/>
        </w:rPr>
        <w:t xml:space="preserve"> et al., 2018), aligning with the observed jejunal pathology (Fig. 2, 3).</w:t>
      </w:r>
    </w:p>
    <w:p w14:paraId="32249C40" w14:textId="77777777" w:rsidR="00C405A1" w:rsidRPr="00DB2D06" w:rsidRDefault="00C405A1" w:rsidP="00C405A1">
      <w:pPr>
        <w:spacing w:line="480" w:lineRule="auto"/>
        <w:jc w:val="both"/>
        <w:outlineLvl w:val="1"/>
        <w:rPr>
          <w:rFonts w:ascii="Times New Roman" w:hAnsi="Times New Roman" w:cs="Times New Roman"/>
          <w:b/>
          <w:bCs/>
        </w:rPr>
      </w:pPr>
      <w:r w:rsidRPr="00DB2D06">
        <w:rPr>
          <w:rFonts w:ascii="Times New Roman" w:hAnsi="Times New Roman" w:cs="Times New Roman"/>
          <w:b/>
          <w:bCs/>
        </w:rPr>
        <w:t>Dietary calcium and challenge status drive differential taxon abundance</w:t>
      </w:r>
    </w:p>
    <w:p w14:paraId="418B14FF" w14:textId="77777777" w:rsidR="00C405A1" w:rsidRPr="00DB2D06" w:rsidRDefault="00C405A1" w:rsidP="00C405A1">
      <w:pPr>
        <w:spacing w:line="480" w:lineRule="auto"/>
        <w:jc w:val="both"/>
        <w:outlineLvl w:val="1"/>
        <w:rPr>
          <w:rFonts w:ascii="Times New Roman" w:hAnsi="Times New Roman" w:cs="Times New Roman"/>
        </w:rPr>
      </w:pPr>
      <w:r w:rsidRPr="00DB2D06">
        <w:rPr>
          <w:rFonts w:ascii="Times New Roman" w:hAnsi="Times New Roman" w:cs="Times New Roman"/>
        </w:rPr>
        <w:t xml:space="preserve">Differential abundance analysis using DESeq2 identified specific ASVs responsive to dietary treatments and challenge status (Fig. 9). Comparing NC to challenged groups revealed significant shifts. Notably, </w:t>
      </w:r>
      <w:r w:rsidRPr="00DB2D06">
        <w:rPr>
          <w:rFonts w:ascii="Times New Roman" w:hAnsi="Times New Roman" w:cs="Times New Roman"/>
          <w:i/>
          <w:iCs/>
        </w:rPr>
        <w:t>Romboutsia</w:t>
      </w:r>
      <w:r w:rsidRPr="00DB2D06">
        <w:rPr>
          <w:rFonts w:ascii="Times New Roman" w:hAnsi="Times New Roman" w:cs="Times New Roman"/>
        </w:rPr>
        <w:t xml:space="preserve"> was highly abundant in NC but significantly depleted in </w:t>
      </w:r>
      <w:r>
        <w:rPr>
          <w:rFonts w:ascii="Times New Roman" w:hAnsi="Times New Roman" w:cs="Times New Roman"/>
        </w:rPr>
        <w:t>A</w:t>
      </w:r>
      <w:r w:rsidRPr="009628BA">
        <w:rPr>
          <w:rFonts w:ascii="Times New Roman" w:hAnsi="Times New Roman" w:cs="Times New Roman"/>
          <w:vertAlign w:val="subscript"/>
        </w:rPr>
        <w:t>F</w:t>
      </w:r>
      <w:r w:rsidRPr="00DB2D06">
        <w:rPr>
          <w:rFonts w:ascii="Times New Roman" w:hAnsi="Times New Roman" w:cs="Times New Roman"/>
        </w:rPr>
        <w:t xml:space="preserve"> (P</w:t>
      </w:r>
      <w:r w:rsidRPr="00E91202">
        <w:rPr>
          <w:rFonts w:ascii="Times New Roman" w:hAnsi="Times New Roman" w:cs="Times New Roman"/>
          <w:vertAlign w:val="subscript"/>
        </w:rPr>
        <w:t>adj</w:t>
      </w:r>
      <w:r w:rsidRPr="00DB2D06">
        <w:rPr>
          <w:rFonts w:ascii="Times New Roman" w:hAnsi="Times New Roman" w:cs="Times New Roman"/>
        </w:rPr>
        <w:t xml:space="preserve"> &lt; 0.001, log</w:t>
      </w:r>
      <w:r w:rsidRPr="00DB2D06">
        <w:rPr>
          <w:rFonts w:ascii="Times New Roman" w:hAnsi="Times New Roman" w:cs="Times New Roman"/>
          <w:vertAlign w:val="subscript"/>
        </w:rPr>
        <w:t>2</w:t>
      </w:r>
      <w:r w:rsidRPr="00DB2D06">
        <w:rPr>
          <w:rFonts w:ascii="Times New Roman" w:hAnsi="Times New Roman" w:cs="Times New Roman"/>
        </w:rPr>
        <w:t>FC = -44.74). Conversely, several </w:t>
      </w:r>
      <w:r w:rsidRPr="00DB2D06">
        <w:rPr>
          <w:rFonts w:ascii="Times New Roman" w:hAnsi="Times New Roman" w:cs="Times New Roman"/>
          <w:i/>
          <w:iCs/>
        </w:rPr>
        <w:t>Lactobacillus</w:t>
      </w:r>
      <w:r w:rsidRPr="00DB2D06">
        <w:rPr>
          <w:rFonts w:ascii="Times New Roman" w:hAnsi="Times New Roman" w:cs="Times New Roman"/>
        </w:rPr>
        <w:t xml:space="preserve"> and </w:t>
      </w:r>
      <w:r w:rsidRPr="00DB2D06">
        <w:rPr>
          <w:rFonts w:ascii="Times New Roman" w:hAnsi="Times New Roman" w:cs="Times New Roman"/>
          <w:i/>
          <w:iCs/>
        </w:rPr>
        <w:t>Bacillus</w:t>
      </w:r>
      <w:r w:rsidRPr="00DB2D06">
        <w:rPr>
          <w:rFonts w:ascii="Times New Roman" w:hAnsi="Times New Roman" w:cs="Times New Roman"/>
        </w:rPr>
        <w:t xml:space="preserve"> were significantly depleted in NC compared to specific challenged groups (e.g., NC vs </w:t>
      </w:r>
      <w:r>
        <w:rPr>
          <w:rFonts w:ascii="Times New Roman" w:hAnsi="Times New Roman" w:cs="Times New Roman"/>
        </w:rPr>
        <w:t>A</w:t>
      </w:r>
      <w:r w:rsidRPr="00001E06">
        <w:rPr>
          <w:rFonts w:ascii="Times New Roman" w:hAnsi="Times New Roman" w:cs="Times New Roman"/>
          <w:vertAlign w:val="subscript"/>
        </w:rPr>
        <w:t>F</w:t>
      </w:r>
      <w:r w:rsidRPr="00DB2D06">
        <w:rPr>
          <w:rFonts w:ascii="Times New Roman" w:hAnsi="Times New Roman" w:cs="Times New Roman"/>
        </w:rPr>
        <w:t>: </w:t>
      </w:r>
      <w:r w:rsidRPr="00DB2D06">
        <w:rPr>
          <w:rFonts w:ascii="Times New Roman" w:hAnsi="Times New Roman" w:cs="Times New Roman"/>
          <w:i/>
          <w:iCs/>
        </w:rPr>
        <w:t>Lactobacillus</w:t>
      </w:r>
      <w:r w:rsidRPr="00DB2D06">
        <w:rPr>
          <w:rFonts w:ascii="Times New Roman" w:hAnsi="Times New Roman" w:cs="Times New Roman"/>
        </w:rPr>
        <w:t> P</w:t>
      </w:r>
      <w:r w:rsidRPr="00E91202">
        <w:rPr>
          <w:rFonts w:ascii="Times New Roman" w:hAnsi="Times New Roman" w:cs="Times New Roman"/>
          <w:vertAlign w:val="subscript"/>
        </w:rPr>
        <w:t>adj</w:t>
      </w:r>
      <w:r w:rsidRPr="00DB2D06">
        <w:rPr>
          <w:rFonts w:ascii="Times New Roman" w:hAnsi="Times New Roman" w:cs="Times New Roman"/>
        </w:rPr>
        <w:t xml:space="preserve"> &lt; 0.001, </w:t>
      </w:r>
      <w:r w:rsidRPr="00DB2D06">
        <w:rPr>
          <w:rFonts w:ascii="Times New Roman" w:hAnsi="Times New Roman" w:cs="Times New Roman"/>
          <w:i/>
          <w:iCs/>
        </w:rPr>
        <w:t>Bacillus</w:t>
      </w:r>
      <w:r w:rsidRPr="00DB2D06">
        <w:rPr>
          <w:rFonts w:ascii="Times New Roman" w:hAnsi="Times New Roman" w:cs="Times New Roman"/>
        </w:rPr>
        <w:t> P</w:t>
      </w:r>
      <w:r w:rsidRPr="00E91202">
        <w:rPr>
          <w:rFonts w:ascii="Times New Roman" w:hAnsi="Times New Roman" w:cs="Times New Roman"/>
          <w:vertAlign w:val="subscript"/>
        </w:rPr>
        <w:t>adj</w:t>
      </w:r>
      <w:r w:rsidRPr="00DB2D06">
        <w:rPr>
          <w:rFonts w:ascii="Times New Roman" w:hAnsi="Times New Roman" w:cs="Times New Roman"/>
        </w:rPr>
        <w:t xml:space="preserve"> &lt; 0.001 and P</w:t>
      </w:r>
      <w:r w:rsidRPr="00E91202">
        <w:rPr>
          <w:rFonts w:ascii="Times New Roman" w:hAnsi="Times New Roman" w:cs="Times New Roman"/>
          <w:vertAlign w:val="subscript"/>
        </w:rPr>
        <w:t>adj</w:t>
      </w:r>
      <w:r w:rsidRPr="00DB2D06">
        <w:rPr>
          <w:rFonts w:ascii="Times New Roman" w:hAnsi="Times New Roman" w:cs="Times New Roman"/>
        </w:rPr>
        <w:t xml:space="preserve"> = 0.043; NC vs </w:t>
      </w:r>
      <w:r>
        <w:rPr>
          <w:rFonts w:ascii="Times New Roman" w:hAnsi="Times New Roman" w:cs="Times New Roman"/>
        </w:rPr>
        <w:t>A</w:t>
      </w:r>
      <w:r w:rsidRPr="00001E06">
        <w:rPr>
          <w:rFonts w:ascii="Times New Roman" w:hAnsi="Times New Roman" w:cs="Times New Roman"/>
          <w:vertAlign w:val="subscript"/>
        </w:rPr>
        <w:t>C</w:t>
      </w:r>
      <w:r w:rsidRPr="00DB2D06">
        <w:rPr>
          <w:rFonts w:ascii="Times New Roman" w:hAnsi="Times New Roman" w:cs="Times New Roman"/>
        </w:rPr>
        <w:t>: </w:t>
      </w:r>
      <w:r w:rsidRPr="00DB2D06">
        <w:rPr>
          <w:rFonts w:ascii="Times New Roman" w:hAnsi="Times New Roman" w:cs="Times New Roman"/>
          <w:i/>
          <w:iCs/>
        </w:rPr>
        <w:t>Lactobacillus</w:t>
      </w:r>
      <w:r w:rsidRPr="00DB2D06">
        <w:rPr>
          <w:rFonts w:ascii="Times New Roman" w:hAnsi="Times New Roman" w:cs="Times New Roman"/>
        </w:rPr>
        <w:t> P</w:t>
      </w:r>
      <w:r w:rsidRPr="00E91202">
        <w:rPr>
          <w:rFonts w:ascii="Times New Roman" w:hAnsi="Times New Roman" w:cs="Times New Roman"/>
          <w:vertAlign w:val="subscript"/>
        </w:rPr>
        <w:t>adj</w:t>
      </w:r>
      <w:r w:rsidRPr="00DB2D06">
        <w:rPr>
          <w:rFonts w:ascii="Times New Roman" w:hAnsi="Times New Roman" w:cs="Times New Roman"/>
        </w:rPr>
        <w:t xml:space="preserve"> &lt; 0.001, </w:t>
      </w:r>
      <w:r w:rsidRPr="00DB2D06">
        <w:rPr>
          <w:rFonts w:ascii="Times New Roman" w:hAnsi="Times New Roman" w:cs="Times New Roman"/>
          <w:i/>
          <w:iCs/>
        </w:rPr>
        <w:t>Staphylococcus</w:t>
      </w:r>
      <w:r w:rsidRPr="00DB2D06">
        <w:rPr>
          <w:rFonts w:ascii="Times New Roman" w:hAnsi="Times New Roman" w:cs="Times New Roman"/>
        </w:rPr>
        <w:t> P</w:t>
      </w:r>
      <w:r w:rsidRPr="00E91202">
        <w:rPr>
          <w:rFonts w:ascii="Times New Roman" w:hAnsi="Times New Roman" w:cs="Times New Roman"/>
          <w:vertAlign w:val="subscript"/>
        </w:rPr>
        <w:t>adj</w:t>
      </w:r>
      <w:r w:rsidRPr="00DB2D06">
        <w:rPr>
          <w:rFonts w:ascii="Times New Roman" w:hAnsi="Times New Roman" w:cs="Times New Roman"/>
        </w:rPr>
        <w:t xml:space="preserve"> = 0.019; NC vs L</w:t>
      </w:r>
      <w:r w:rsidRPr="00001E06">
        <w:rPr>
          <w:rFonts w:ascii="Times New Roman" w:hAnsi="Times New Roman" w:cs="Times New Roman"/>
          <w:vertAlign w:val="subscript"/>
        </w:rPr>
        <w:t>C</w:t>
      </w:r>
      <w:r w:rsidRPr="00DB2D06">
        <w:rPr>
          <w:rFonts w:ascii="Times New Roman" w:hAnsi="Times New Roman" w:cs="Times New Roman"/>
        </w:rPr>
        <w:t>: </w:t>
      </w:r>
      <w:r w:rsidRPr="00DB2D06">
        <w:rPr>
          <w:rFonts w:ascii="Times New Roman" w:hAnsi="Times New Roman" w:cs="Times New Roman"/>
          <w:i/>
          <w:iCs/>
        </w:rPr>
        <w:t>Bacillus</w:t>
      </w:r>
      <w:r w:rsidRPr="00DB2D06">
        <w:rPr>
          <w:rFonts w:ascii="Times New Roman" w:hAnsi="Times New Roman" w:cs="Times New Roman"/>
        </w:rPr>
        <w:t> P</w:t>
      </w:r>
      <w:r w:rsidRPr="00E91202">
        <w:rPr>
          <w:rFonts w:ascii="Times New Roman" w:hAnsi="Times New Roman" w:cs="Times New Roman"/>
          <w:vertAlign w:val="subscript"/>
        </w:rPr>
        <w:t>adj</w:t>
      </w:r>
      <w:r w:rsidRPr="00DB2D06">
        <w:rPr>
          <w:rFonts w:ascii="Times New Roman" w:hAnsi="Times New Roman" w:cs="Times New Roman"/>
        </w:rPr>
        <w:t xml:space="preserve"> &lt; 0.001). At the phylum level, </w:t>
      </w:r>
      <w:proofErr w:type="spellStart"/>
      <w:r w:rsidRPr="00DB2D06">
        <w:rPr>
          <w:rFonts w:ascii="Times New Roman" w:hAnsi="Times New Roman" w:cs="Times New Roman"/>
        </w:rPr>
        <w:lastRenderedPageBreak/>
        <w:t>Bacteroidota</w:t>
      </w:r>
      <w:proofErr w:type="spellEnd"/>
      <w:r w:rsidRPr="00DB2D06">
        <w:rPr>
          <w:rFonts w:ascii="Times New Roman" w:hAnsi="Times New Roman" w:cs="Times New Roman"/>
        </w:rPr>
        <w:t xml:space="preserve"> abundance was significantly higher in NC compared to challenged groups R</w:t>
      </w:r>
      <w:r w:rsidRPr="00001E06">
        <w:rPr>
          <w:rFonts w:ascii="Times New Roman" w:hAnsi="Times New Roman" w:cs="Times New Roman"/>
          <w:vertAlign w:val="subscript"/>
        </w:rPr>
        <w:t>F</w:t>
      </w:r>
      <w:r w:rsidRPr="00DB2D06">
        <w:rPr>
          <w:rFonts w:ascii="Times New Roman" w:hAnsi="Times New Roman" w:cs="Times New Roman"/>
        </w:rPr>
        <w:t xml:space="preserve"> (P</w:t>
      </w:r>
      <w:r w:rsidRPr="00E91202">
        <w:rPr>
          <w:rFonts w:ascii="Times New Roman" w:hAnsi="Times New Roman" w:cs="Times New Roman"/>
          <w:vertAlign w:val="subscript"/>
        </w:rPr>
        <w:t>adj</w:t>
      </w:r>
      <w:r w:rsidRPr="00DB2D06">
        <w:rPr>
          <w:rFonts w:ascii="Times New Roman" w:hAnsi="Times New Roman" w:cs="Times New Roman"/>
        </w:rPr>
        <w:t xml:space="preserve"> = 0.001) and R</w:t>
      </w:r>
      <w:r w:rsidRPr="00001E06">
        <w:rPr>
          <w:rFonts w:ascii="Times New Roman" w:hAnsi="Times New Roman" w:cs="Times New Roman"/>
          <w:vertAlign w:val="subscript"/>
        </w:rPr>
        <w:t>C</w:t>
      </w:r>
      <w:r w:rsidRPr="00DB2D06">
        <w:rPr>
          <w:rFonts w:ascii="Times New Roman" w:hAnsi="Times New Roman" w:cs="Times New Roman"/>
        </w:rPr>
        <w:t xml:space="preserve"> (P</w:t>
      </w:r>
      <w:r w:rsidRPr="00E91202">
        <w:rPr>
          <w:rFonts w:ascii="Times New Roman" w:hAnsi="Times New Roman" w:cs="Times New Roman"/>
          <w:vertAlign w:val="subscript"/>
        </w:rPr>
        <w:t>adj</w:t>
      </w:r>
      <w:r w:rsidRPr="00DB2D06">
        <w:rPr>
          <w:rFonts w:ascii="Times New Roman" w:hAnsi="Times New Roman" w:cs="Times New Roman"/>
        </w:rPr>
        <w:t xml:space="preserve"> = 0.014). The higher relative abundance of potentially beneficial butyrate-producing families </w:t>
      </w:r>
      <w:proofErr w:type="spellStart"/>
      <w:r w:rsidRPr="00DB2D06">
        <w:rPr>
          <w:rFonts w:ascii="Times New Roman" w:hAnsi="Times New Roman" w:cs="Times New Roman"/>
        </w:rPr>
        <w:t>Lachnospiraceae</w:t>
      </w:r>
      <w:proofErr w:type="spellEnd"/>
      <w:r w:rsidRPr="00DB2D06">
        <w:rPr>
          <w:rFonts w:ascii="Times New Roman" w:hAnsi="Times New Roman" w:cs="Times New Roman"/>
        </w:rPr>
        <w:t xml:space="preserve"> and </w:t>
      </w:r>
      <w:proofErr w:type="spellStart"/>
      <w:r w:rsidRPr="00DB2D06">
        <w:rPr>
          <w:rFonts w:ascii="Times New Roman" w:hAnsi="Times New Roman" w:cs="Times New Roman"/>
        </w:rPr>
        <w:t>Ruminococcaceae</w:t>
      </w:r>
      <w:proofErr w:type="spellEnd"/>
      <w:r w:rsidRPr="00DB2D06">
        <w:rPr>
          <w:rFonts w:ascii="Times New Roman" w:hAnsi="Times New Roman" w:cs="Times New Roman"/>
        </w:rPr>
        <w:t>, as well as the immunomodulatory </w:t>
      </w:r>
      <w:r w:rsidRPr="00DB2D06">
        <w:rPr>
          <w:rFonts w:ascii="Times New Roman" w:hAnsi="Times New Roman" w:cs="Times New Roman"/>
          <w:i/>
          <w:iCs/>
        </w:rPr>
        <w:t xml:space="preserve">Candidatus </w:t>
      </w:r>
      <w:proofErr w:type="spellStart"/>
      <w:r w:rsidRPr="00DB2D06">
        <w:rPr>
          <w:rFonts w:ascii="Times New Roman" w:hAnsi="Times New Roman" w:cs="Times New Roman"/>
          <w:i/>
          <w:iCs/>
        </w:rPr>
        <w:t>Arthromitus</w:t>
      </w:r>
      <w:proofErr w:type="spellEnd"/>
      <w:r w:rsidRPr="00DB2D06">
        <w:rPr>
          <w:rFonts w:ascii="Times New Roman" w:hAnsi="Times New Roman" w:cs="Times New Roman"/>
        </w:rPr>
        <w:t> (</w:t>
      </w:r>
      <w:proofErr w:type="spellStart"/>
      <w:r w:rsidRPr="00DB2D06">
        <w:rPr>
          <w:rFonts w:ascii="Times New Roman" w:hAnsi="Times New Roman" w:cs="Times New Roman"/>
        </w:rPr>
        <w:t>Bortoluzzi</w:t>
      </w:r>
      <w:proofErr w:type="spellEnd"/>
      <w:r w:rsidRPr="00DB2D06">
        <w:rPr>
          <w:rFonts w:ascii="Times New Roman" w:hAnsi="Times New Roman" w:cs="Times New Roman"/>
        </w:rPr>
        <w:t xml:space="preserve"> et al., 2018) in the NC group compared to most challenged groups (Fig. 5, 6), further underscores the challenge effect, although these differences were not significant at the family level in the DESeq2 analysis (P</w:t>
      </w:r>
      <w:r w:rsidRPr="00E91202">
        <w:rPr>
          <w:rFonts w:ascii="Times New Roman" w:hAnsi="Times New Roman" w:cs="Times New Roman"/>
          <w:vertAlign w:val="subscript"/>
        </w:rPr>
        <w:t>adj</w:t>
      </w:r>
      <w:r w:rsidRPr="00DB2D06">
        <w:rPr>
          <w:rFonts w:ascii="Times New Roman" w:hAnsi="Times New Roman" w:cs="Times New Roman"/>
        </w:rPr>
        <w:t xml:space="preserve"> &gt; 0.10).</w:t>
      </w:r>
    </w:p>
    <w:p w14:paraId="0FB15AFF" w14:textId="77777777" w:rsidR="00C405A1" w:rsidRPr="00DB2D06" w:rsidRDefault="00C405A1" w:rsidP="00C405A1">
      <w:pPr>
        <w:spacing w:line="480" w:lineRule="auto"/>
        <w:jc w:val="both"/>
        <w:outlineLvl w:val="1"/>
        <w:rPr>
          <w:rFonts w:ascii="Times New Roman" w:hAnsi="Times New Roman" w:cs="Times New Roman"/>
        </w:rPr>
      </w:pPr>
      <w:r w:rsidRPr="00DB2D06">
        <w:rPr>
          <w:rFonts w:ascii="Times New Roman" w:hAnsi="Times New Roman" w:cs="Times New Roman"/>
        </w:rPr>
        <w:t>Within challenged groups, dietary calcium levels drove significant changes. Several </w:t>
      </w:r>
      <w:r w:rsidRPr="00DB2D06">
        <w:rPr>
          <w:rFonts w:ascii="Times New Roman" w:hAnsi="Times New Roman" w:cs="Times New Roman"/>
          <w:i/>
          <w:iCs/>
        </w:rPr>
        <w:t>Lactobacillus</w:t>
      </w:r>
      <w:r w:rsidRPr="00DB2D06">
        <w:rPr>
          <w:rFonts w:ascii="Times New Roman" w:hAnsi="Times New Roman" w:cs="Times New Roman"/>
        </w:rPr>
        <w:t xml:space="preserve"> were significantly enriched in adequate (</w:t>
      </w:r>
      <w:r>
        <w:rPr>
          <w:rFonts w:ascii="Times New Roman" w:hAnsi="Times New Roman" w:cs="Times New Roman"/>
        </w:rPr>
        <w:t>A</w:t>
      </w:r>
      <w:r w:rsidRPr="00001E06">
        <w:rPr>
          <w:rFonts w:ascii="Times New Roman" w:hAnsi="Times New Roman" w:cs="Times New Roman"/>
          <w:vertAlign w:val="subscript"/>
        </w:rPr>
        <w:t>F</w:t>
      </w:r>
      <w:r w:rsidRPr="00DB2D06">
        <w:rPr>
          <w:rFonts w:ascii="Times New Roman" w:hAnsi="Times New Roman" w:cs="Times New Roman"/>
        </w:rPr>
        <w:t>) and reduced (R</w:t>
      </w:r>
      <w:r w:rsidRPr="00001E06">
        <w:rPr>
          <w:rFonts w:ascii="Times New Roman" w:hAnsi="Times New Roman" w:cs="Times New Roman"/>
          <w:vertAlign w:val="subscript"/>
        </w:rPr>
        <w:t>F</w:t>
      </w:r>
      <w:r w:rsidRPr="00DB2D06">
        <w:rPr>
          <w:rFonts w:ascii="Times New Roman" w:hAnsi="Times New Roman" w:cs="Times New Roman"/>
        </w:rPr>
        <w:t>) calcium groups compared to the low calcium group (L</w:t>
      </w:r>
      <w:r w:rsidRPr="00001E06">
        <w:rPr>
          <w:rFonts w:ascii="Times New Roman" w:hAnsi="Times New Roman" w:cs="Times New Roman"/>
          <w:vertAlign w:val="subscript"/>
        </w:rPr>
        <w:t>F</w:t>
      </w:r>
      <w:r w:rsidRPr="00DB2D06">
        <w:rPr>
          <w:rFonts w:ascii="Times New Roman" w:hAnsi="Times New Roman" w:cs="Times New Roman"/>
        </w:rPr>
        <w:t>) when using fine particles (P</w:t>
      </w:r>
      <w:r w:rsidRPr="00E91202">
        <w:rPr>
          <w:rFonts w:ascii="Times New Roman" w:hAnsi="Times New Roman" w:cs="Times New Roman"/>
          <w:vertAlign w:val="subscript"/>
        </w:rPr>
        <w:t>adj</w:t>
      </w:r>
      <w:r w:rsidRPr="00DB2D06">
        <w:rPr>
          <w:rFonts w:ascii="Times New Roman" w:hAnsi="Times New Roman" w:cs="Times New Roman"/>
        </w:rPr>
        <w:t xml:space="preserve"> &lt; 0.001), suggesting adequate calcium supports these dominant commensals (Pan &amp; Yu, 2014). </w:t>
      </w:r>
      <w:r w:rsidRPr="00DB2D06">
        <w:rPr>
          <w:rFonts w:ascii="Times New Roman" w:hAnsi="Times New Roman" w:cs="Times New Roman"/>
          <w:i/>
          <w:iCs/>
        </w:rPr>
        <w:t>Clostridium sensu stricto 1</w:t>
      </w:r>
      <w:r w:rsidRPr="00DB2D06">
        <w:rPr>
          <w:rFonts w:ascii="Times New Roman" w:hAnsi="Times New Roman" w:cs="Times New Roman"/>
        </w:rPr>
        <w:t xml:space="preserve"> showed a strong positive association with calcium, being significantly higher in </w:t>
      </w:r>
      <w:r>
        <w:rPr>
          <w:rFonts w:ascii="Times New Roman" w:hAnsi="Times New Roman" w:cs="Times New Roman"/>
        </w:rPr>
        <w:t>A</w:t>
      </w:r>
      <w:r w:rsidRPr="00001E06">
        <w:rPr>
          <w:rFonts w:ascii="Times New Roman" w:hAnsi="Times New Roman" w:cs="Times New Roman"/>
          <w:vertAlign w:val="subscript"/>
        </w:rPr>
        <w:t>C</w:t>
      </w:r>
      <w:r w:rsidRPr="00DB2D06">
        <w:rPr>
          <w:rFonts w:ascii="Times New Roman" w:hAnsi="Times New Roman" w:cs="Times New Roman"/>
        </w:rPr>
        <w:t xml:space="preserve"> compared to R</w:t>
      </w:r>
      <w:r w:rsidRPr="00001E06">
        <w:rPr>
          <w:rFonts w:ascii="Times New Roman" w:hAnsi="Times New Roman" w:cs="Times New Roman"/>
          <w:vertAlign w:val="subscript"/>
        </w:rPr>
        <w:t>C</w:t>
      </w:r>
      <w:r w:rsidRPr="00DB2D06">
        <w:rPr>
          <w:rFonts w:ascii="Times New Roman" w:hAnsi="Times New Roman" w:cs="Times New Roman"/>
        </w:rPr>
        <w:t xml:space="preserve"> (P</w:t>
      </w:r>
      <w:r w:rsidRPr="00E91202">
        <w:rPr>
          <w:rFonts w:ascii="Times New Roman" w:hAnsi="Times New Roman" w:cs="Times New Roman"/>
          <w:vertAlign w:val="subscript"/>
        </w:rPr>
        <w:t>adj</w:t>
      </w:r>
      <w:r w:rsidRPr="00DB2D06">
        <w:rPr>
          <w:rFonts w:ascii="Times New Roman" w:hAnsi="Times New Roman" w:cs="Times New Roman"/>
        </w:rPr>
        <w:t xml:space="preserve"> &lt; 0.001, log</w:t>
      </w:r>
      <w:r w:rsidRPr="00DB2D06">
        <w:rPr>
          <w:rFonts w:ascii="Times New Roman" w:hAnsi="Times New Roman" w:cs="Times New Roman"/>
          <w:vertAlign w:val="subscript"/>
        </w:rPr>
        <w:t>2</w:t>
      </w:r>
      <w:r w:rsidRPr="00DB2D06">
        <w:rPr>
          <w:rFonts w:ascii="Times New Roman" w:hAnsi="Times New Roman" w:cs="Times New Roman"/>
        </w:rPr>
        <w:t>FC = 21.88) but depleted in R</w:t>
      </w:r>
      <w:r w:rsidRPr="00001E06">
        <w:rPr>
          <w:rFonts w:ascii="Times New Roman" w:hAnsi="Times New Roman" w:cs="Times New Roman"/>
          <w:vertAlign w:val="subscript"/>
        </w:rPr>
        <w:t>C</w:t>
      </w:r>
      <w:r w:rsidRPr="00DB2D06">
        <w:rPr>
          <w:rFonts w:ascii="Times New Roman" w:hAnsi="Times New Roman" w:cs="Times New Roman"/>
        </w:rPr>
        <w:t xml:space="preserve"> compared to L</w:t>
      </w:r>
      <w:r w:rsidRPr="00001E06">
        <w:rPr>
          <w:rFonts w:ascii="Times New Roman" w:hAnsi="Times New Roman" w:cs="Times New Roman"/>
          <w:vertAlign w:val="subscript"/>
        </w:rPr>
        <w:t>C</w:t>
      </w:r>
      <w:r w:rsidRPr="00DB2D06">
        <w:rPr>
          <w:rFonts w:ascii="Times New Roman" w:hAnsi="Times New Roman" w:cs="Times New Roman"/>
        </w:rPr>
        <w:t xml:space="preserve"> (P</w:t>
      </w:r>
      <w:r w:rsidRPr="00E91202">
        <w:rPr>
          <w:rFonts w:ascii="Times New Roman" w:hAnsi="Times New Roman" w:cs="Times New Roman"/>
          <w:vertAlign w:val="subscript"/>
        </w:rPr>
        <w:t>adj</w:t>
      </w:r>
      <w:r w:rsidRPr="00DB2D06">
        <w:rPr>
          <w:rFonts w:ascii="Times New Roman" w:hAnsi="Times New Roman" w:cs="Times New Roman"/>
        </w:rPr>
        <w:t xml:space="preserve"> &lt; 0.001, log</w:t>
      </w:r>
      <w:r w:rsidRPr="00DB2D06">
        <w:rPr>
          <w:rFonts w:ascii="Times New Roman" w:hAnsi="Times New Roman" w:cs="Times New Roman"/>
          <w:vertAlign w:val="subscript"/>
        </w:rPr>
        <w:t>2</w:t>
      </w:r>
      <w:r w:rsidRPr="00DB2D06">
        <w:rPr>
          <w:rFonts w:ascii="Times New Roman" w:hAnsi="Times New Roman" w:cs="Times New Roman"/>
        </w:rPr>
        <w:t>FC = -12.33). This genus includes important butyrate producers, aligning with predicted functional data (</w:t>
      </w:r>
      <w:proofErr w:type="spellStart"/>
      <w:r w:rsidRPr="00DB2D06">
        <w:rPr>
          <w:rFonts w:ascii="Times New Roman" w:hAnsi="Times New Roman" w:cs="Times New Roman"/>
        </w:rPr>
        <w:t>Bortoluzzi</w:t>
      </w:r>
      <w:proofErr w:type="spellEnd"/>
      <w:r w:rsidRPr="00DB2D06">
        <w:rPr>
          <w:rFonts w:ascii="Times New Roman" w:hAnsi="Times New Roman" w:cs="Times New Roman"/>
        </w:rPr>
        <w:t xml:space="preserve"> et al., 2018). Additionally, the </w:t>
      </w:r>
      <w:r w:rsidRPr="00DB2D06">
        <w:rPr>
          <w:rFonts w:ascii="Times New Roman" w:hAnsi="Times New Roman" w:cs="Times New Roman"/>
          <w:i/>
          <w:iCs/>
        </w:rPr>
        <w:t>Romboutsia</w:t>
      </w:r>
      <w:r w:rsidRPr="00DB2D06">
        <w:rPr>
          <w:rFonts w:ascii="Times New Roman" w:hAnsi="Times New Roman" w:cs="Times New Roman"/>
        </w:rPr>
        <w:t xml:space="preserve"> mentioned above was higher in R</w:t>
      </w:r>
      <w:r w:rsidRPr="00001E06">
        <w:rPr>
          <w:rFonts w:ascii="Times New Roman" w:hAnsi="Times New Roman" w:cs="Times New Roman"/>
          <w:vertAlign w:val="subscript"/>
        </w:rPr>
        <w:t>C</w:t>
      </w:r>
      <w:r w:rsidRPr="00DB2D06">
        <w:rPr>
          <w:rFonts w:ascii="Times New Roman" w:hAnsi="Times New Roman" w:cs="Times New Roman"/>
        </w:rPr>
        <w:t xml:space="preserve"> compared to R</w:t>
      </w:r>
      <w:r w:rsidRPr="00001E06">
        <w:rPr>
          <w:rFonts w:ascii="Times New Roman" w:hAnsi="Times New Roman" w:cs="Times New Roman"/>
          <w:vertAlign w:val="subscript"/>
        </w:rPr>
        <w:t>F</w:t>
      </w:r>
      <w:r w:rsidRPr="00DB2D06">
        <w:rPr>
          <w:rFonts w:ascii="Times New Roman" w:hAnsi="Times New Roman" w:cs="Times New Roman"/>
        </w:rPr>
        <w:t xml:space="preserve"> (P</w:t>
      </w:r>
      <w:r w:rsidRPr="00E91202">
        <w:rPr>
          <w:rFonts w:ascii="Times New Roman" w:hAnsi="Times New Roman" w:cs="Times New Roman"/>
          <w:vertAlign w:val="subscript"/>
        </w:rPr>
        <w:t>adj</w:t>
      </w:r>
      <w:r w:rsidRPr="00DB2D06">
        <w:rPr>
          <w:rFonts w:ascii="Times New Roman" w:hAnsi="Times New Roman" w:cs="Times New Roman"/>
        </w:rPr>
        <w:t xml:space="preserve"> &lt; 0.001, log</w:t>
      </w:r>
      <w:r w:rsidRPr="00DB2D06">
        <w:rPr>
          <w:rFonts w:ascii="Times New Roman" w:hAnsi="Times New Roman" w:cs="Times New Roman"/>
          <w:vertAlign w:val="subscript"/>
        </w:rPr>
        <w:t>2</w:t>
      </w:r>
      <w:r w:rsidRPr="00DB2D06">
        <w:rPr>
          <w:rFonts w:ascii="Times New Roman" w:hAnsi="Times New Roman" w:cs="Times New Roman"/>
        </w:rPr>
        <w:t>FC = 40.97). Certain potentially pathogenic </w:t>
      </w:r>
      <w:proofErr w:type="spellStart"/>
      <w:r w:rsidRPr="00DB2D06">
        <w:rPr>
          <w:rFonts w:ascii="Times New Roman" w:hAnsi="Times New Roman" w:cs="Times New Roman"/>
          <w:i/>
          <w:iCs/>
        </w:rPr>
        <w:t>Gallibacterium</w:t>
      </w:r>
      <w:proofErr w:type="spellEnd"/>
      <w:r w:rsidRPr="00DB2D06">
        <w:rPr>
          <w:rFonts w:ascii="Times New Roman" w:hAnsi="Times New Roman" w:cs="Times New Roman"/>
        </w:rPr>
        <w:t xml:space="preserve"> were enriched in R</w:t>
      </w:r>
      <w:r w:rsidRPr="00001E06">
        <w:rPr>
          <w:rFonts w:ascii="Times New Roman" w:hAnsi="Times New Roman" w:cs="Times New Roman"/>
          <w:vertAlign w:val="subscript"/>
        </w:rPr>
        <w:t>F</w:t>
      </w:r>
      <w:r w:rsidRPr="00DB2D06">
        <w:rPr>
          <w:rFonts w:ascii="Times New Roman" w:hAnsi="Times New Roman" w:cs="Times New Roman"/>
        </w:rPr>
        <w:t xml:space="preserve"> compared to L</w:t>
      </w:r>
      <w:r w:rsidRPr="00001E06">
        <w:rPr>
          <w:rFonts w:ascii="Times New Roman" w:hAnsi="Times New Roman" w:cs="Times New Roman"/>
          <w:vertAlign w:val="subscript"/>
        </w:rPr>
        <w:t>F</w:t>
      </w:r>
      <w:r w:rsidRPr="00DB2D06">
        <w:rPr>
          <w:rFonts w:ascii="Times New Roman" w:hAnsi="Times New Roman" w:cs="Times New Roman"/>
        </w:rPr>
        <w:t xml:space="preserve"> (P</w:t>
      </w:r>
      <w:r w:rsidRPr="00E91202">
        <w:rPr>
          <w:rFonts w:ascii="Times New Roman" w:hAnsi="Times New Roman" w:cs="Times New Roman"/>
          <w:vertAlign w:val="subscript"/>
        </w:rPr>
        <w:t>adj</w:t>
      </w:r>
      <w:r w:rsidRPr="00DB2D06">
        <w:rPr>
          <w:rFonts w:ascii="Times New Roman" w:hAnsi="Times New Roman" w:cs="Times New Roman"/>
        </w:rPr>
        <w:t xml:space="preserve"> = 0.001 and P</w:t>
      </w:r>
      <w:r w:rsidRPr="00E91202">
        <w:rPr>
          <w:rFonts w:ascii="Times New Roman" w:hAnsi="Times New Roman" w:cs="Times New Roman"/>
          <w:vertAlign w:val="subscript"/>
        </w:rPr>
        <w:t>adj</w:t>
      </w:r>
      <w:r w:rsidRPr="00DB2D06">
        <w:rPr>
          <w:rFonts w:ascii="Times New Roman" w:hAnsi="Times New Roman" w:cs="Times New Roman"/>
        </w:rPr>
        <w:t xml:space="preserve"> = 0.002). These ASV</w:t>
      </w:r>
      <w:r>
        <w:rPr>
          <w:rFonts w:ascii="Times New Roman" w:hAnsi="Times New Roman" w:cs="Times New Roman"/>
        </w:rPr>
        <w:t xml:space="preserve"> </w:t>
      </w:r>
      <w:r w:rsidRPr="00DB2D06">
        <w:rPr>
          <w:rFonts w:ascii="Times New Roman" w:hAnsi="Times New Roman" w:cs="Times New Roman"/>
        </w:rPr>
        <w:t>level differences reflect highly specific microbial responses to dietary calcium levels and the enteric challenge.</w:t>
      </w:r>
    </w:p>
    <w:p w14:paraId="21FCB2BE" w14:textId="77777777" w:rsidR="00C405A1" w:rsidRPr="00DB2D06" w:rsidRDefault="00C405A1" w:rsidP="00C405A1">
      <w:pPr>
        <w:spacing w:line="480" w:lineRule="auto"/>
        <w:jc w:val="both"/>
        <w:outlineLvl w:val="1"/>
        <w:rPr>
          <w:rFonts w:ascii="Times New Roman" w:hAnsi="Times New Roman" w:cs="Times New Roman"/>
          <w:b/>
          <w:bCs/>
          <w:highlight w:val="yellow"/>
        </w:rPr>
      </w:pPr>
      <w:r w:rsidRPr="00DB2D06">
        <w:rPr>
          <w:rFonts w:ascii="Times New Roman" w:hAnsi="Times New Roman" w:cs="Times New Roman"/>
          <w:b/>
          <w:bCs/>
          <w:highlight w:val="yellow"/>
        </w:rPr>
        <w:t>Predicted</w:t>
      </w:r>
      <w:commentRangeStart w:id="0"/>
      <w:commentRangeEnd w:id="0"/>
      <w:r>
        <w:rPr>
          <w:rStyle w:val="CommentReference"/>
        </w:rPr>
        <w:commentReference w:id="0"/>
      </w:r>
      <w:r w:rsidRPr="00DB2D06">
        <w:rPr>
          <w:rFonts w:ascii="Times New Roman" w:hAnsi="Times New Roman" w:cs="Times New Roman"/>
          <w:b/>
          <w:bCs/>
          <w:highlight w:val="yellow"/>
        </w:rPr>
        <w:t xml:space="preserve"> functional consequences of microbiota shifts</w:t>
      </w:r>
    </w:p>
    <w:p w14:paraId="7661EF26" w14:textId="77777777" w:rsidR="00C405A1" w:rsidRPr="00DB2D06" w:rsidRDefault="00C405A1" w:rsidP="00C405A1">
      <w:pPr>
        <w:spacing w:line="480" w:lineRule="auto"/>
        <w:jc w:val="both"/>
        <w:outlineLvl w:val="1"/>
        <w:rPr>
          <w:rFonts w:ascii="Times New Roman" w:hAnsi="Times New Roman" w:cs="Times New Roman"/>
        </w:rPr>
      </w:pPr>
      <w:r w:rsidRPr="00DB2D06">
        <w:rPr>
          <w:rFonts w:ascii="Times New Roman" w:hAnsi="Times New Roman" w:cs="Times New Roman"/>
          <w:highlight w:val="yellow"/>
        </w:rPr>
        <w:t xml:space="preserve">PICRUSt2 analysis predicted functional differences across treatment groups based on 16S rRNA data (Fig. 11). Comparing the challenged </w:t>
      </w:r>
      <w:r w:rsidRPr="009628BA">
        <w:rPr>
          <w:rFonts w:ascii="Times New Roman" w:hAnsi="Times New Roman" w:cs="Times New Roman"/>
          <w:highlight w:val="yellow"/>
        </w:rPr>
        <w:t>A</w:t>
      </w:r>
      <w:r w:rsidRPr="009628BA">
        <w:rPr>
          <w:rFonts w:ascii="Times New Roman" w:hAnsi="Times New Roman" w:cs="Times New Roman"/>
          <w:highlight w:val="yellow"/>
          <w:vertAlign w:val="subscript"/>
        </w:rPr>
        <w:t>F</w:t>
      </w:r>
      <w:r w:rsidRPr="00DB2D06">
        <w:rPr>
          <w:rFonts w:ascii="Times New Roman" w:hAnsi="Times New Roman" w:cs="Times New Roman"/>
          <w:highlight w:val="yellow"/>
        </w:rPr>
        <w:t xml:space="preserve"> group to the unchallenged NC group showed significant downregulation of predicted pathways related to bacterial secretion systems and cell cycle regulation (e.g., Cell cycle - Caulobacter, </w:t>
      </w:r>
      <w:proofErr w:type="spellStart"/>
      <w:r w:rsidRPr="00DB2D06">
        <w:rPr>
          <w:rFonts w:ascii="Times New Roman" w:hAnsi="Times New Roman" w:cs="Times New Roman"/>
          <w:highlight w:val="yellow"/>
        </w:rPr>
        <w:t>FoldEnrichment</w:t>
      </w:r>
      <w:proofErr w:type="spellEnd"/>
      <w:r w:rsidRPr="00DB2D06">
        <w:rPr>
          <w:rFonts w:ascii="Times New Roman" w:hAnsi="Times New Roman" w:cs="Times New Roman"/>
          <w:highlight w:val="yellow"/>
        </w:rPr>
        <w:t xml:space="preserve"> = 26.48, P &lt; 0.001) in </w:t>
      </w:r>
      <w:r w:rsidRPr="009628BA">
        <w:rPr>
          <w:rFonts w:ascii="Times New Roman" w:hAnsi="Times New Roman" w:cs="Times New Roman"/>
          <w:highlight w:val="yellow"/>
        </w:rPr>
        <w:t>A</w:t>
      </w:r>
      <w:r w:rsidRPr="009628BA">
        <w:rPr>
          <w:rFonts w:ascii="Times New Roman" w:hAnsi="Times New Roman" w:cs="Times New Roman"/>
          <w:highlight w:val="yellow"/>
          <w:vertAlign w:val="subscript"/>
        </w:rPr>
        <w:t>F</w:t>
      </w:r>
      <w:r w:rsidRPr="00DB2D06">
        <w:rPr>
          <w:rFonts w:ascii="Times New Roman" w:hAnsi="Times New Roman" w:cs="Times New Roman"/>
          <w:highlight w:val="yellow"/>
        </w:rPr>
        <w:t xml:space="preserve">, suggesting altered bacterial activity post-infection. Adequate calcium treatments significantly </w:t>
      </w:r>
      <w:r w:rsidRPr="00DB2D06">
        <w:rPr>
          <w:rFonts w:ascii="Times New Roman" w:hAnsi="Times New Roman" w:cs="Times New Roman"/>
          <w:highlight w:val="yellow"/>
        </w:rPr>
        <w:lastRenderedPageBreak/>
        <w:t>upregulated predicted starch and sucrose metabolism compared to lower calcium diets (P</w:t>
      </w:r>
      <w:r w:rsidRPr="009628BA">
        <w:rPr>
          <w:rFonts w:ascii="Times New Roman" w:hAnsi="Times New Roman" w:cs="Times New Roman"/>
          <w:highlight w:val="yellow"/>
          <w:vertAlign w:val="subscript"/>
        </w:rPr>
        <w:t>adj</w:t>
      </w:r>
      <w:r w:rsidRPr="00DB2D06">
        <w:rPr>
          <w:rFonts w:ascii="Times New Roman" w:hAnsi="Times New Roman" w:cs="Times New Roman"/>
          <w:highlight w:val="yellow"/>
        </w:rPr>
        <w:t xml:space="preserve"> &lt; 0.01, Fold enrichment &gt; 4.2). Crucially, predicted butanoate (butyrate) metabolism pathways were significantly enriched in higher calcium treatments (</w:t>
      </w:r>
      <w:r w:rsidRPr="009628BA">
        <w:rPr>
          <w:rFonts w:ascii="Times New Roman" w:hAnsi="Times New Roman" w:cs="Times New Roman"/>
          <w:highlight w:val="yellow"/>
        </w:rPr>
        <w:t>A</w:t>
      </w:r>
      <w:r w:rsidRPr="009628BA">
        <w:rPr>
          <w:rFonts w:ascii="Times New Roman" w:hAnsi="Times New Roman" w:cs="Times New Roman"/>
          <w:highlight w:val="yellow"/>
          <w:vertAlign w:val="subscript"/>
        </w:rPr>
        <w:t>F</w:t>
      </w:r>
      <w:r w:rsidRPr="00DB2D06">
        <w:rPr>
          <w:rFonts w:ascii="Times New Roman" w:hAnsi="Times New Roman" w:cs="Times New Roman"/>
          <w:highlight w:val="yellow"/>
        </w:rPr>
        <w:t xml:space="preserve">, </w:t>
      </w:r>
      <w:r w:rsidRPr="009628BA">
        <w:rPr>
          <w:rFonts w:ascii="Times New Roman" w:hAnsi="Times New Roman" w:cs="Times New Roman"/>
          <w:highlight w:val="yellow"/>
        </w:rPr>
        <w:t>A</w:t>
      </w:r>
      <w:r w:rsidRPr="009628BA">
        <w:rPr>
          <w:rFonts w:ascii="Times New Roman" w:hAnsi="Times New Roman" w:cs="Times New Roman"/>
          <w:highlight w:val="yellow"/>
          <w:vertAlign w:val="subscript"/>
        </w:rPr>
        <w:t>C</w:t>
      </w:r>
      <w:r w:rsidRPr="00DB2D06">
        <w:rPr>
          <w:rFonts w:ascii="Times New Roman" w:hAnsi="Times New Roman" w:cs="Times New Roman"/>
          <w:highlight w:val="yellow"/>
        </w:rPr>
        <w:t>, R</w:t>
      </w:r>
      <w:r w:rsidRPr="009628BA">
        <w:rPr>
          <w:rFonts w:ascii="Times New Roman" w:hAnsi="Times New Roman" w:cs="Times New Roman"/>
          <w:highlight w:val="yellow"/>
          <w:vertAlign w:val="subscript"/>
        </w:rPr>
        <w:t>C</w:t>
      </w:r>
      <w:r w:rsidRPr="00DB2D06">
        <w:rPr>
          <w:rFonts w:ascii="Times New Roman" w:hAnsi="Times New Roman" w:cs="Times New Roman"/>
          <w:highlight w:val="yellow"/>
        </w:rPr>
        <w:t xml:space="preserve">), particularly with coarse particles (e.g., </w:t>
      </w:r>
      <w:r w:rsidRPr="009628BA">
        <w:rPr>
          <w:rFonts w:ascii="Times New Roman" w:hAnsi="Times New Roman" w:cs="Times New Roman"/>
          <w:highlight w:val="yellow"/>
        </w:rPr>
        <w:t>A</w:t>
      </w:r>
      <w:r w:rsidRPr="009628BA">
        <w:rPr>
          <w:rFonts w:ascii="Times New Roman" w:hAnsi="Times New Roman" w:cs="Times New Roman"/>
          <w:highlight w:val="yellow"/>
          <w:vertAlign w:val="subscript"/>
        </w:rPr>
        <w:t>C</w:t>
      </w:r>
      <w:r w:rsidRPr="00DB2D06">
        <w:rPr>
          <w:rFonts w:ascii="Times New Roman" w:hAnsi="Times New Roman" w:cs="Times New Roman"/>
          <w:highlight w:val="yellow"/>
        </w:rPr>
        <w:t xml:space="preserve"> vs R</w:t>
      </w:r>
      <w:r w:rsidRPr="009628BA">
        <w:rPr>
          <w:rFonts w:ascii="Times New Roman" w:hAnsi="Times New Roman" w:cs="Times New Roman"/>
          <w:highlight w:val="yellow"/>
          <w:vertAlign w:val="subscript"/>
        </w:rPr>
        <w:t>C</w:t>
      </w:r>
      <w:r w:rsidRPr="00DB2D06">
        <w:rPr>
          <w:rFonts w:ascii="Times New Roman" w:hAnsi="Times New Roman" w:cs="Times New Roman"/>
          <w:highlight w:val="yellow"/>
        </w:rPr>
        <w:t>, P &lt; 0.001, Fold enrichment</w:t>
      </w:r>
      <w:r w:rsidRPr="009628BA">
        <w:rPr>
          <w:rFonts w:ascii="Times New Roman" w:hAnsi="Times New Roman" w:cs="Times New Roman"/>
          <w:highlight w:val="yellow"/>
        </w:rPr>
        <w:t xml:space="preserve"> </w:t>
      </w:r>
      <w:r w:rsidRPr="00DB2D06">
        <w:rPr>
          <w:rFonts w:ascii="Times New Roman" w:hAnsi="Times New Roman" w:cs="Times New Roman"/>
          <w:highlight w:val="yellow"/>
        </w:rPr>
        <w:t>7.0), consistent with the higher abundance of </w:t>
      </w:r>
      <w:r w:rsidRPr="00DB2D06">
        <w:rPr>
          <w:rFonts w:ascii="Times New Roman" w:hAnsi="Times New Roman" w:cs="Times New Roman"/>
          <w:i/>
          <w:iCs/>
          <w:highlight w:val="yellow"/>
        </w:rPr>
        <w:t>Clostridium sensu stricto 1</w:t>
      </w:r>
      <w:r w:rsidRPr="00DB2D06">
        <w:rPr>
          <w:rFonts w:ascii="Times New Roman" w:hAnsi="Times New Roman" w:cs="Times New Roman"/>
          <w:highlight w:val="yellow"/>
        </w:rPr>
        <w:t xml:space="preserve"> ASVs. This suggests adequate calcium, especially from coarse limestone, promotes potential butyrate production, vital for gut health (Dittoe et al., 2018). Adequate calcium treatments also enriched predicted pathways for biofilm formation (e.g., </w:t>
      </w:r>
      <w:r w:rsidRPr="009628BA">
        <w:rPr>
          <w:rFonts w:ascii="Times New Roman" w:hAnsi="Times New Roman" w:cs="Times New Roman"/>
          <w:highlight w:val="yellow"/>
        </w:rPr>
        <w:t>A</w:t>
      </w:r>
      <w:r w:rsidRPr="009628BA">
        <w:rPr>
          <w:rFonts w:ascii="Times New Roman" w:hAnsi="Times New Roman" w:cs="Times New Roman"/>
          <w:highlight w:val="yellow"/>
          <w:vertAlign w:val="subscript"/>
        </w:rPr>
        <w:t>F</w:t>
      </w:r>
      <w:r w:rsidRPr="00DB2D06">
        <w:rPr>
          <w:rFonts w:ascii="Times New Roman" w:hAnsi="Times New Roman" w:cs="Times New Roman"/>
          <w:highlight w:val="yellow"/>
        </w:rPr>
        <w:t xml:space="preserve"> vs R</w:t>
      </w:r>
      <w:r w:rsidRPr="00DB2D06">
        <w:rPr>
          <w:rFonts w:ascii="Times New Roman" w:hAnsi="Times New Roman" w:cs="Times New Roman"/>
          <w:highlight w:val="yellow"/>
          <w:vertAlign w:val="subscript"/>
        </w:rPr>
        <w:t>F</w:t>
      </w:r>
      <w:r w:rsidRPr="00DB2D06">
        <w:rPr>
          <w:rFonts w:ascii="Times New Roman" w:hAnsi="Times New Roman" w:cs="Times New Roman"/>
          <w:highlight w:val="yellow"/>
        </w:rPr>
        <w:t xml:space="preserve">, P &lt; 0.001) and antimicrobial peptide resistance (e.g., </w:t>
      </w:r>
      <w:r w:rsidRPr="009628BA">
        <w:rPr>
          <w:rFonts w:ascii="Times New Roman" w:hAnsi="Times New Roman" w:cs="Times New Roman"/>
          <w:highlight w:val="yellow"/>
        </w:rPr>
        <w:t>A</w:t>
      </w:r>
      <w:r w:rsidRPr="009628BA">
        <w:rPr>
          <w:rFonts w:ascii="Times New Roman" w:hAnsi="Times New Roman" w:cs="Times New Roman"/>
          <w:highlight w:val="yellow"/>
          <w:vertAlign w:val="subscript"/>
        </w:rPr>
        <w:t>F</w:t>
      </w:r>
      <w:r w:rsidRPr="00DB2D06">
        <w:rPr>
          <w:rFonts w:ascii="Times New Roman" w:hAnsi="Times New Roman" w:cs="Times New Roman"/>
          <w:highlight w:val="yellow"/>
        </w:rPr>
        <w:t xml:space="preserve"> vs R</w:t>
      </w:r>
      <w:r w:rsidRPr="00DB2D06">
        <w:rPr>
          <w:rFonts w:ascii="Times New Roman" w:hAnsi="Times New Roman" w:cs="Times New Roman"/>
          <w:highlight w:val="yellow"/>
          <w:vertAlign w:val="subscript"/>
        </w:rPr>
        <w:t>F</w:t>
      </w:r>
      <w:r w:rsidRPr="00DB2D06">
        <w:rPr>
          <w:rFonts w:ascii="Times New Roman" w:hAnsi="Times New Roman" w:cs="Times New Roman"/>
          <w:highlight w:val="yellow"/>
        </w:rPr>
        <w:t xml:space="preserve">, P &lt; 0.001), potentially contributing to community resilience. Furthermore, the enrichment of secondary bile acid biosynthesis in adequate calcium groups (e.g., </w:t>
      </w:r>
      <w:r w:rsidRPr="009628BA">
        <w:rPr>
          <w:rFonts w:ascii="Times New Roman" w:hAnsi="Times New Roman" w:cs="Times New Roman"/>
          <w:highlight w:val="yellow"/>
        </w:rPr>
        <w:t>A</w:t>
      </w:r>
      <w:r w:rsidRPr="009628BA">
        <w:rPr>
          <w:rFonts w:ascii="Times New Roman" w:hAnsi="Times New Roman" w:cs="Times New Roman"/>
          <w:highlight w:val="yellow"/>
          <w:vertAlign w:val="subscript"/>
        </w:rPr>
        <w:t>F</w:t>
      </w:r>
      <w:r w:rsidRPr="00DB2D06">
        <w:rPr>
          <w:rFonts w:ascii="Times New Roman" w:hAnsi="Times New Roman" w:cs="Times New Roman"/>
          <w:highlight w:val="yellow"/>
        </w:rPr>
        <w:t xml:space="preserve"> vs R</w:t>
      </w:r>
      <w:r w:rsidRPr="00DB2D06">
        <w:rPr>
          <w:rFonts w:ascii="Times New Roman" w:hAnsi="Times New Roman" w:cs="Times New Roman"/>
          <w:highlight w:val="yellow"/>
          <w:vertAlign w:val="subscript"/>
        </w:rPr>
        <w:t>F</w:t>
      </w:r>
      <w:r w:rsidRPr="00DB2D06">
        <w:rPr>
          <w:rFonts w:ascii="Times New Roman" w:hAnsi="Times New Roman" w:cs="Times New Roman"/>
          <w:highlight w:val="yellow"/>
        </w:rPr>
        <w:t>, P</w:t>
      </w:r>
      <w:r w:rsidRPr="009628BA">
        <w:rPr>
          <w:rFonts w:ascii="Times New Roman" w:hAnsi="Times New Roman" w:cs="Times New Roman"/>
          <w:highlight w:val="yellow"/>
          <w:vertAlign w:val="subscript"/>
        </w:rPr>
        <w:t>adj</w:t>
      </w:r>
      <w:r w:rsidRPr="00DB2D06">
        <w:rPr>
          <w:rFonts w:ascii="Times New Roman" w:hAnsi="Times New Roman" w:cs="Times New Roman"/>
          <w:highlight w:val="yellow"/>
        </w:rPr>
        <w:t xml:space="preserve"> &lt; 0.01) suggests an enhanced capacity to modulate host bile acids, potentially impacting pathogen resistance (</w:t>
      </w:r>
      <w:proofErr w:type="spellStart"/>
      <w:r w:rsidRPr="00DB2D06">
        <w:rPr>
          <w:rFonts w:ascii="Times New Roman" w:hAnsi="Times New Roman" w:cs="Times New Roman"/>
          <w:highlight w:val="yellow"/>
        </w:rPr>
        <w:t>Ducatelle</w:t>
      </w:r>
      <w:proofErr w:type="spellEnd"/>
      <w:r w:rsidRPr="00DB2D06">
        <w:rPr>
          <w:rFonts w:ascii="Times New Roman" w:hAnsi="Times New Roman" w:cs="Times New Roman"/>
          <w:highlight w:val="yellow"/>
        </w:rPr>
        <w:t xml:space="preserve"> et al., 2018).</w:t>
      </w:r>
    </w:p>
    <w:p w14:paraId="6EA54E59" w14:textId="77777777" w:rsidR="00322876" w:rsidRDefault="00322876"/>
    <w:sectPr w:rsidR="003228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na Waqar Tabish" w:date="2025-04-29T11:10:00Z" w:initials="RWT">
    <w:p w14:paraId="262073A0" w14:textId="77777777" w:rsidR="00C405A1" w:rsidRDefault="00C405A1" w:rsidP="00C405A1">
      <w:r>
        <w:rPr>
          <w:rStyle w:val="CommentReference"/>
        </w:rPr>
        <w:annotationRef/>
      </w:r>
      <w:r>
        <w:rPr>
          <w:color w:val="000000"/>
          <w:sz w:val="20"/>
          <w:szCs w:val="20"/>
        </w:rPr>
        <w:t>Has to again look back at the orignal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62073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A6AA71" w16cex:dateUtc="2025-04-29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62073A0" w16cid:durableId="0FA6AA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na Waqar Tabish">
    <w15:presenceInfo w15:providerId="AD" w15:userId="S::rzt0054@auburn.edu::122561ea-d2f3-4648-bf3b-a5d0b7305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A1"/>
    <w:rsid w:val="00126E4E"/>
    <w:rsid w:val="00243652"/>
    <w:rsid w:val="00322876"/>
    <w:rsid w:val="003F6E76"/>
    <w:rsid w:val="00BC327E"/>
    <w:rsid w:val="00C405A1"/>
    <w:rsid w:val="00F7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3D4ED"/>
  <w15:chartTrackingRefBased/>
  <w15:docId w15:val="{E5AA0E95-C511-2849-B6E0-3B6EEBAF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5A1"/>
  </w:style>
  <w:style w:type="paragraph" w:styleId="Heading1">
    <w:name w:val="heading 1"/>
    <w:basedOn w:val="Normal"/>
    <w:next w:val="Normal"/>
    <w:link w:val="Heading1Char"/>
    <w:uiPriority w:val="9"/>
    <w:qFormat/>
    <w:rsid w:val="00C40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5A1"/>
    <w:rPr>
      <w:rFonts w:eastAsiaTheme="majorEastAsia" w:cstheme="majorBidi"/>
      <w:color w:val="272727" w:themeColor="text1" w:themeTint="D8"/>
    </w:rPr>
  </w:style>
  <w:style w:type="paragraph" w:styleId="Title">
    <w:name w:val="Title"/>
    <w:basedOn w:val="Normal"/>
    <w:next w:val="Normal"/>
    <w:link w:val="TitleChar"/>
    <w:uiPriority w:val="10"/>
    <w:qFormat/>
    <w:rsid w:val="00C40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5A1"/>
    <w:pPr>
      <w:spacing w:before="160"/>
      <w:jc w:val="center"/>
    </w:pPr>
    <w:rPr>
      <w:i/>
      <w:iCs/>
      <w:color w:val="404040" w:themeColor="text1" w:themeTint="BF"/>
    </w:rPr>
  </w:style>
  <w:style w:type="character" w:customStyle="1" w:styleId="QuoteChar">
    <w:name w:val="Quote Char"/>
    <w:basedOn w:val="DefaultParagraphFont"/>
    <w:link w:val="Quote"/>
    <w:uiPriority w:val="29"/>
    <w:rsid w:val="00C405A1"/>
    <w:rPr>
      <w:i/>
      <w:iCs/>
      <w:color w:val="404040" w:themeColor="text1" w:themeTint="BF"/>
    </w:rPr>
  </w:style>
  <w:style w:type="paragraph" w:styleId="ListParagraph">
    <w:name w:val="List Paragraph"/>
    <w:basedOn w:val="Normal"/>
    <w:uiPriority w:val="34"/>
    <w:qFormat/>
    <w:rsid w:val="00C405A1"/>
    <w:pPr>
      <w:ind w:left="720"/>
      <w:contextualSpacing/>
    </w:pPr>
  </w:style>
  <w:style w:type="character" w:styleId="IntenseEmphasis">
    <w:name w:val="Intense Emphasis"/>
    <w:basedOn w:val="DefaultParagraphFont"/>
    <w:uiPriority w:val="21"/>
    <w:qFormat/>
    <w:rsid w:val="00C405A1"/>
    <w:rPr>
      <w:i/>
      <w:iCs/>
      <w:color w:val="0F4761" w:themeColor="accent1" w:themeShade="BF"/>
    </w:rPr>
  </w:style>
  <w:style w:type="paragraph" w:styleId="IntenseQuote">
    <w:name w:val="Intense Quote"/>
    <w:basedOn w:val="Normal"/>
    <w:next w:val="Normal"/>
    <w:link w:val="IntenseQuoteChar"/>
    <w:uiPriority w:val="30"/>
    <w:qFormat/>
    <w:rsid w:val="00C40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5A1"/>
    <w:rPr>
      <w:i/>
      <w:iCs/>
      <w:color w:val="0F4761" w:themeColor="accent1" w:themeShade="BF"/>
    </w:rPr>
  </w:style>
  <w:style w:type="character" w:styleId="IntenseReference">
    <w:name w:val="Intense Reference"/>
    <w:basedOn w:val="DefaultParagraphFont"/>
    <w:uiPriority w:val="32"/>
    <w:qFormat/>
    <w:rsid w:val="00C405A1"/>
    <w:rPr>
      <w:b/>
      <w:bCs/>
      <w:smallCaps/>
      <w:color w:val="0F4761" w:themeColor="accent1" w:themeShade="BF"/>
      <w:spacing w:val="5"/>
    </w:rPr>
  </w:style>
  <w:style w:type="character" w:styleId="CommentReference">
    <w:name w:val="annotation reference"/>
    <w:basedOn w:val="DefaultParagraphFont"/>
    <w:uiPriority w:val="99"/>
    <w:semiHidden/>
    <w:unhideWhenUsed/>
    <w:rsid w:val="00C405A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Waqar Tabish</dc:creator>
  <cp:keywords/>
  <dc:description/>
  <cp:lastModifiedBy>Rana Waqar Tabish</cp:lastModifiedBy>
  <cp:revision>1</cp:revision>
  <dcterms:created xsi:type="dcterms:W3CDTF">2025-05-08T22:06:00Z</dcterms:created>
  <dcterms:modified xsi:type="dcterms:W3CDTF">2025-05-08T22:06:00Z</dcterms:modified>
</cp:coreProperties>
</file>