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B5ADA" w14:textId="77777777" w:rsidR="00E73952" w:rsidRPr="00020880" w:rsidRDefault="00E73952" w:rsidP="00E73952">
      <w:pPr>
        <w:pStyle w:val="ListParagraph"/>
        <w:spacing w:line="480" w:lineRule="auto"/>
        <w:ind w:left="360"/>
        <w:jc w:val="center"/>
        <w:rPr>
          <w:rFonts w:ascii="Times New Roman" w:hAnsi="Times New Roman" w:cs="Times New Roman"/>
        </w:rPr>
      </w:pPr>
      <w:bookmarkStart w:id="0" w:name="_Hlk79691572"/>
      <w:r w:rsidRPr="00020880">
        <w:rPr>
          <w:rFonts w:ascii="Times New Roman" w:hAnsi="Times New Roman" w:cs="Times New Roman"/>
        </w:rPr>
        <w:t>Running head</w:t>
      </w:r>
      <w:r w:rsidRPr="00020880">
        <w:rPr>
          <w:rFonts w:ascii="Times New Roman" w:hAnsi="Times New Roman" w:cs="Times New Roman"/>
          <w:b/>
          <w:bCs/>
        </w:rPr>
        <w:t xml:space="preserve">: </w:t>
      </w:r>
      <w:r w:rsidRPr="00020880">
        <w:rPr>
          <w:rFonts w:ascii="Times New Roman" w:hAnsi="Times New Roman" w:cs="Times New Roman"/>
        </w:rPr>
        <w:t>LIMESTONE PARTICLE SIZE AND CALCIUM LEVEL</w:t>
      </w:r>
    </w:p>
    <w:p w14:paraId="1BA91C36" w14:textId="77777777" w:rsidR="00E73952" w:rsidRPr="00020880" w:rsidRDefault="00E73952" w:rsidP="00E73952">
      <w:pPr>
        <w:pStyle w:val="ListParagraph"/>
        <w:spacing w:line="480" w:lineRule="auto"/>
        <w:ind w:left="360"/>
        <w:jc w:val="center"/>
        <w:rPr>
          <w:rFonts w:ascii="Times New Roman" w:hAnsi="Times New Roman" w:cs="Times New Roman"/>
        </w:rPr>
      </w:pPr>
    </w:p>
    <w:bookmarkEnd w:id="0"/>
    <w:p w14:paraId="41AC143E" w14:textId="77777777" w:rsidR="00E73952" w:rsidRPr="00020880" w:rsidRDefault="00E73952" w:rsidP="00E73952">
      <w:pPr>
        <w:pStyle w:val="Heading1"/>
        <w:spacing w:before="0" w:after="240"/>
        <w:jc w:val="center"/>
        <w:rPr>
          <w:rFonts w:ascii="Times New Roman" w:hAnsi="Times New Roman" w:cs="Times New Roman"/>
          <w:b/>
          <w:bCs/>
          <w:color w:val="auto"/>
          <w:sz w:val="24"/>
          <w:szCs w:val="24"/>
          <w:vertAlign w:val="superscript"/>
        </w:rPr>
      </w:pPr>
      <w:r w:rsidRPr="00020880">
        <w:rPr>
          <w:rFonts w:ascii="Times New Roman" w:hAnsi="Times New Roman" w:cs="Times New Roman"/>
          <w:b/>
          <w:bCs/>
          <w:color w:val="auto"/>
          <w:sz w:val="24"/>
          <w:szCs w:val="24"/>
        </w:rPr>
        <w:t xml:space="preserve">Response of broilers subjected to an enteric challenge and fed diets with varying limestone particle sizes and calcium concentrations–part 1: performance, tibia mineralization, and nutrient </w:t>
      </w:r>
      <w:r>
        <w:rPr>
          <w:rFonts w:ascii="Times New Roman" w:hAnsi="Times New Roman" w:cs="Times New Roman"/>
          <w:b/>
          <w:bCs/>
          <w:color w:val="auto"/>
          <w:sz w:val="24"/>
          <w:szCs w:val="24"/>
        </w:rPr>
        <w:t>digestibility</w:t>
      </w:r>
      <w:r w:rsidRPr="00020880">
        <w:rPr>
          <w:rFonts w:ascii="Times New Roman" w:hAnsi="Times New Roman" w:cs="Times New Roman"/>
          <w:b/>
          <w:bCs/>
          <w:color w:val="auto"/>
          <w:sz w:val="24"/>
          <w:szCs w:val="24"/>
          <w:vertAlign w:val="superscript"/>
        </w:rPr>
        <w:t>1</w:t>
      </w:r>
    </w:p>
    <w:p w14:paraId="01915316" w14:textId="77777777" w:rsidR="00E73952" w:rsidRPr="00020880" w:rsidRDefault="00E73952" w:rsidP="00E73952">
      <w:pPr>
        <w:pStyle w:val="ListParagraph"/>
        <w:spacing w:line="480" w:lineRule="auto"/>
        <w:ind w:left="360"/>
        <w:jc w:val="center"/>
        <w:rPr>
          <w:rFonts w:ascii="Times New Roman" w:hAnsi="Times New Roman" w:cs="Times New Roman"/>
          <w:vertAlign w:val="superscript"/>
          <w:lang w:val="es-ES"/>
        </w:rPr>
      </w:pPr>
      <w:bookmarkStart w:id="1" w:name="_Hlk149633872"/>
      <w:r w:rsidRPr="00020880">
        <w:rPr>
          <w:rFonts w:ascii="Times New Roman" w:hAnsi="Times New Roman" w:cs="Times New Roman"/>
          <w:lang w:val="es-ES"/>
        </w:rPr>
        <w:t xml:space="preserve">J. P. </w:t>
      </w:r>
      <w:proofErr w:type="spellStart"/>
      <w:r w:rsidRPr="00020880">
        <w:rPr>
          <w:rFonts w:ascii="Times New Roman" w:hAnsi="Times New Roman" w:cs="Times New Roman"/>
          <w:lang w:val="es-ES"/>
        </w:rPr>
        <w:t>Gulizia</w:t>
      </w:r>
      <w:proofErr w:type="spellEnd"/>
      <w:r w:rsidRPr="00020880">
        <w:rPr>
          <w:rFonts w:ascii="Times New Roman" w:hAnsi="Times New Roman" w:cs="Times New Roman"/>
          <w:vertAlign w:val="superscript"/>
          <w:lang w:val="es-ES"/>
        </w:rPr>
        <w:t>*</w:t>
      </w:r>
      <w:r w:rsidRPr="00020880">
        <w:rPr>
          <w:rFonts w:ascii="Times New Roman" w:hAnsi="Times New Roman" w:cs="Times New Roman"/>
          <w:lang w:val="es-ES"/>
        </w:rPr>
        <w:t>, R. W. Tabish</w:t>
      </w:r>
      <w:r w:rsidRPr="00020880">
        <w:rPr>
          <w:rFonts w:ascii="Times New Roman" w:hAnsi="Times New Roman" w:cs="Times New Roman"/>
          <w:vertAlign w:val="superscript"/>
          <w:lang w:val="es-ES"/>
        </w:rPr>
        <w:t>*</w:t>
      </w:r>
      <w:r w:rsidRPr="00020880">
        <w:rPr>
          <w:rFonts w:ascii="Times New Roman" w:hAnsi="Times New Roman" w:cs="Times New Roman"/>
          <w:lang w:val="es-ES"/>
        </w:rPr>
        <w:t>, J. I. Vargas</w:t>
      </w:r>
      <w:r w:rsidRPr="00020880">
        <w:rPr>
          <w:rFonts w:ascii="Times New Roman" w:hAnsi="Times New Roman" w:cs="Times New Roman"/>
          <w:vertAlign w:val="superscript"/>
          <w:lang w:val="es-ES"/>
        </w:rPr>
        <w:t>*</w:t>
      </w:r>
      <w:r w:rsidRPr="00020880">
        <w:rPr>
          <w:rFonts w:ascii="Times New Roman" w:hAnsi="Times New Roman" w:cs="Times New Roman"/>
          <w:lang w:val="es-ES"/>
        </w:rPr>
        <w:t xml:space="preserve">, J. R. </w:t>
      </w:r>
      <w:proofErr w:type="spellStart"/>
      <w:r w:rsidRPr="00020880">
        <w:rPr>
          <w:rFonts w:ascii="Times New Roman" w:hAnsi="Times New Roman" w:cs="Times New Roman"/>
          <w:lang w:val="es-ES"/>
        </w:rPr>
        <w:t>Hernandez</w:t>
      </w:r>
      <w:proofErr w:type="spellEnd"/>
      <w:r w:rsidRPr="00020880">
        <w:rPr>
          <w:rFonts w:ascii="Times New Roman" w:hAnsi="Times New Roman" w:cs="Times New Roman"/>
          <w:vertAlign w:val="superscript"/>
          <w:lang w:val="es-ES"/>
        </w:rPr>
        <w:t>*</w:t>
      </w:r>
      <w:r w:rsidRPr="00020880">
        <w:rPr>
          <w:rFonts w:ascii="Times New Roman" w:hAnsi="Times New Roman" w:cs="Times New Roman"/>
          <w:lang w:val="es-ES"/>
        </w:rPr>
        <w:t xml:space="preserve">, C. T. </w:t>
      </w:r>
      <w:proofErr w:type="spellStart"/>
      <w:r w:rsidRPr="00020880">
        <w:rPr>
          <w:rFonts w:ascii="Times New Roman" w:hAnsi="Times New Roman" w:cs="Times New Roman"/>
          <w:lang w:val="es-ES"/>
        </w:rPr>
        <w:t>Simões</w:t>
      </w:r>
      <w:proofErr w:type="spellEnd"/>
      <w:r w:rsidRPr="00020880">
        <w:rPr>
          <w:rFonts w:ascii="Times New Roman" w:eastAsia="Calibri" w:hAnsi="Times New Roman" w:cs="Times New Roman"/>
          <w:vertAlign w:val="superscript"/>
        </w:rPr>
        <w:t>§</w:t>
      </w:r>
      <w:r w:rsidRPr="00020880">
        <w:rPr>
          <w:rFonts w:ascii="Times New Roman" w:hAnsi="Times New Roman" w:cs="Times New Roman"/>
          <w:lang w:val="es-ES"/>
        </w:rPr>
        <w:t xml:space="preserve">, E. G. </w:t>
      </w:r>
      <w:proofErr w:type="spellStart"/>
      <w:r w:rsidRPr="00020880">
        <w:rPr>
          <w:rFonts w:ascii="Times New Roman" w:hAnsi="Times New Roman" w:cs="Times New Roman"/>
          <w:lang w:val="es-ES"/>
        </w:rPr>
        <w:t>Guzman</w:t>
      </w:r>
      <w:proofErr w:type="spellEnd"/>
      <w:r w:rsidRPr="00020880">
        <w:rPr>
          <w:rFonts w:ascii="Times New Roman" w:hAnsi="Times New Roman" w:cs="Times New Roman"/>
          <w:vertAlign w:val="superscript"/>
          <w:lang w:val="es-ES"/>
        </w:rPr>
        <w:t>*</w:t>
      </w:r>
      <w:r w:rsidRPr="00020880">
        <w:rPr>
          <w:rFonts w:ascii="Times New Roman" w:hAnsi="Times New Roman" w:cs="Times New Roman"/>
          <w:lang w:val="es-ES"/>
        </w:rPr>
        <w:t>, S. J. Rochell</w:t>
      </w:r>
      <w:r w:rsidRPr="00020880">
        <w:rPr>
          <w:rFonts w:ascii="Times New Roman" w:hAnsi="Times New Roman" w:cs="Times New Roman"/>
          <w:vertAlign w:val="superscript"/>
          <w:lang w:val="es-ES"/>
        </w:rPr>
        <w:t>*</w:t>
      </w:r>
      <w:r w:rsidRPr="00020880">
        <w:rPr>
          <w:rFonts w:ascii="Times New Roman" w:hAnsi="Times New Roman" w:cs="Times New Roman"/>
          <w:lang w:val="es-ES"/>
        </w:rPr>
        <w:t xml:space="preserve">, R. </w:t>
      </w:r>
      <w:proofErr w:type="spellStart"/>
      <w:r w:rsidRPr="00020880">
        <w:rPr>
          <w:rFonts w:ascii="Times New Roman" w:hAnsi="Times New Roman" w:cs="Times New Roman"/>
          <w:lang w:val="es-ES"/>
        </w:rPr>
        <w:t>Hauck</w:t>
      </w:r>
      <w:proofErr w:type="spellEnd"/>
      <w:r w:rsidRPr="00020880">
        <w:rPr>
          <w:rFonts w:ascii="Times New Roman" w:hAnsi="Times New Roman" w:cs="Times New Roman"/>
          <w:vertAlign w:val="superscript"/>
          <w:lang w:val="es-ES"/>
        </w:rPr>
        <w:t>*, ‡</w:t>
      </w:r>
      <w:r w:rsidRPr="00020880">
        <w:rPr>
          <w:rFonts w:ascii="Times New Roman" w:hAnsi="Times New Roman" w:cs="Times New Roman"/>
          <w:lang w:val="es-ES"/>
        </w:rPr>
        <w:t>, M. A. Bailey</w:t>
      </w:r>
      <w:r w:rsidRPr="00020880">
        <w:rPr>
          <w:rFonts w:ascii="Times New Roman" w:hAnsi="Times New Roman" w:cs="Times New Roman"/>
          <w:vertAlign w:val="superscript"/>
          <w:lang w:val="es-ES"/>
        </w:rPr>
        <w:t>*</w:t>
      </w:r>
      <w:r w:rsidRPr="00020880">
        <w:rPr>
          <w:rFonts w:ascii="Times New Roman" w:hAnsi="Times New Roman" w:cs="Times New Roman"/>
          <w:lang w:val="es-ES"/>
        </w:rPr>
        <w:t xml:space="preserve">, W. A. </w:t>
      </w:r>
      <w:proofErr w:type="spellStart"/>
      <w:r w:rsidRPr="00020880">
        <w:rPr>
          <w:rFonts w:ascii="Times New Roman" w:hAnsi="Times New Roman" w:cs="Times New Roman"/>
          <w:lang w:val="es-ES"/>
        </w:rPr>
        <w:t>Dozier</w:t>
      </w:r>
      <w:proofErr w:type="spellEnd"/>
      <w:r w:rsidRPr="00020880">
        <w:rPr>
          <w:rFonts w:ascii="Times New Roman" w:hAnsi="Times New Roman" w:cs="Times New Roman"/>
          <w:lang w:val="es-ES"/>
        </w:rPr>
        <w:t>, III</w:t>
      </w:r>
      <w:r w:rsidRPr="00020880">
        <w:rPr>
          <w:rFonts w:ascii="Times New Roman" w:hAnsi="Times New Roman" w:cs="Times New Roman"/>
          <w:vertAlign w:val="superscript"/>
          <w:lang w:val="es-ES"/>
        </w:rPr>
        <w:t>*</w:t>
      </w:r>
      <w:r w:rsidRPr="00020880">
        <w:rPr>
          <w:rFonts w:ascii="Times New Roman" w:hAnsi="Times New Roman" w:cs="Times New Roman"/>
          <w:lang w:val="es-ES"/>
        </w:rPr>
        <w:t xml:space="preserve">, K. W. </w:t>
      </w:r>
      <w:proofErr w:type="spellStart"/>
      <w:r w:rsidRPr="00020880">
        <w:rPr>
          <w:rFonts w:ascii="Times New Roman" w:hAnsi="Times New Roman" w:cs="Times New Roman"/>
          <w:lang w:val="es-ES"/>
        </w:rPr>
        <w:t>McCafferty</w:t>
      </w:r>
      <w:proofErr w:type="spellEnd"/>
      <w:r w:rsidRPr="00020880">
        <w:rPr>
          <w:rFonts w:ascii="Times New Roman" w:hAnsi="Times New Roman" w:cs="Times New Roman"/>
          <w:vertAlign w:val="superscript"/>
          <w:lang w:val="es-ES"/>
        </w:rPr>
        <w:t>†</w:t>
      </w:r>
      <w:r w:rsidRPr="00020880">
        <w:rPr>
          <w:rFonts w:ascii="Times New Roman" w:hAnsi="Times New Roman" w:cs="Times New Roman"/>
          <w:lang w:val="es-ES"/>
        </w:rPr>
        <w:t xml:space="preserve">, </w:t>
      </w:r>
      <w:r w:rsidRPr="00020880">
        <w:rPr>
          <w:rFonts w:ascii="Times New Roman" w:hAnsi="Times New Roman" w:cs="Times New Roman"/>
          <w:lang w:val="es-ES"/>
        </w:rPr>
        <w:br/>
        <w:t>and W. J. Pacheco</w:t>
      </w:r>
      <w:r w:rsidRPr="00020880">
        <w:rPr>
          <w:rFonts w:ascii="Times New Roman" w:hAnsi="Times New Roman" w:cs="Times New Roman"/>
          <w:vertAlign w:val="superscript"/>
          <w:lang w:val="es-ES"/>
        </w:rPr>
        <w:t>*, 2</w:t>
      </w:r>
    </w:p>
    <w:bookmarkEnd w:id="1"/>
    <w:p w14:paraId="44D57F23" w14:textId="77777777" w:rsidR="00E73952" w:rsidRPr="00020880" w:rsidRDefault="00E73952" w:rsidP="00E73952">
      <w:pPr>
        <w:spacing w:line="259" w:lineRule="auto"/>
        <w:rPr>
          <w:rFonts w:ascii="Times New Roman" w:hAnsi="Times New Roman" w:cs="Times New Roman"/>
          <w:sz w:val="24"/>
          <w:szCs w:val="24"/>
        </w:rPr>
        <w:sectPr w:rsidR="00E73952" w:rsidRPr="00020880" w:rsidSect="00E73952">
          <w:pgSz w:w="12240" w:h="15840" w:code="1"/>
          <w:pgMar w:top="1440" w:right="1440" w:bottom="1440" w:left="1440" w:header="720" w:footer="720" w:gutter="0"/>
          <w:lnNumType w:countBy="1" w:restart="continuous"/>
          <w:cols w:space="720"/>
          <w:vAlign w:val="center"/>
          <w:docGrid w:linePitch="360"/>
        </w:sectPr>
      </w:pPr>
    </w:p>
    <w:p w14:paraId="4D7B29B8" w14:textId="77777777" w:rsidR="00E73952" w:rsidRPr="00020880" w:rsidRDefault="00E73952" w:rsidP="00E73952">
      <w:pPr>
        <w:pStyle w:val="Heading1"/>
        <w:spacing w:line="480" w:lineRule="auto"/>
        <w:rPr>
          <w:rFonts w:ascii="Times New Roman" w:hAnsi="Times New Roman" w:cs="Times New Roman"/>
          <w:b/>
          <w:bCs/>
          <w:color w:val="auto"/>
          <w:sz w:val="24"/>
          <w:szCs w:val="24"/>
        </w:rPr>
      </w:pPr>
      <w:r w:rsidRPr="00020880">
        <w:rPr>
          <w:rFonts w:ascii="Times New Roman" w:hAnsi="Times New Roman" w:cs="Times New Roman"/>
          <w:b/>
          <w:bCs/>
          <w:color w:val="auto"/>
          <w:sz w:val="24"/>
          <w:szCs w:val="24"/>
        </w:rPr>
        <w:lastRenderedPageBreak/>
        <w:t>ABSTRACT</w:t>
      </w:r>
    </w:p>
    <w:p w14:paraId="08FC670B" w14:textId="77777777" w:rsidR="00E73952" w:rsidRPr="00020880" w:rsidRDefault="00E73952" w:rsidP="00E73952">
      <w:pPr>
        <w:spacing w:after="0" w:line="480" w:lineRule="auto"/>
        <w:jc w:val="both"/>
        <w:rPr>
          <w:rFonts w:ascii="Times New Roman" w:hAnsi="Times New Roman" w:cs="Times New Roman"/>
          <w:sz w:val="24"/>
          <w:szCs w:val="24"/>
        </w:rPr>
      </w:pPr>
      <w:r w:rsidRPr="00020880">
        <w:rPr>
          <w:rFonts w:ascii="Times New Roman" w:hAnsi="Times New Roman" w:cs="Times New Roman"/>
          <w:sz w:val="24"/>
          <w:szCs w:val="24"/>
        </w:rPr>
        <w:t xml:space="preserve">This 35-d </w:t>
      </w:r>
      <w:r>
        <w:rPr>
          <w:rFonts w:ascii="Times New Roman" w:hAnsi="Times New Roman" w:cs="Times New Roman"/>
          <w:sz w:val="24"/>
          <w:szCs w:val="24"/>
        </w:rPr>
        <w:t>experiment</w:t>
      </w:r>
      <w:r w:rsidRPr="00020880" w:rsidDel="00B0181C">
        <w:rPr>
          <w:rFonts w:ascii="Times New Roman" w:hAnsi="Times New Roman" w:cs="Times New Roman"/>
          <w:sz w:val="24"/>
          <w:szCs w:val="24"/>
        </w:rPr>
        <w:t xml:space="preserve"> </w:t>
      </w:r>
      <w:r w:rsidRPr="00020880">
        <w:rPr>
          <w:rFonts w:ascii="Times New Roman" w:hAnsi="Times New Roman" w:cs="Times New Roman"/>
          <w:sz w:val="24"/>
          <w:szCs w:val="24"/>
        </w:rPr>
        <w:t xml:space="preserve">evaluated the effects of limestone particle size and calcium concentrations on broiler performance, tibia mineralization, and nutrient </w:t>
      </w:r>
      <w:r>
        <w:rPr>
          <w:rFonts w:ascii="Times New Roman" w:hAnsi="Times New Roman" w:cs="Times New Roman"/>
          <w:sz w:val="24"/>
          <w:szCs w:val="24"/>
        </w:rPr>
        <w:t>digestibility</w:t>
      </w:r>
      <w:r w:rsidRPr="00020880">
        <w:rPr>
          <w:rFonts w:ascii="Times New Roman" w:hAnsi="Times New Roman" w:cs="Times New Roman"/>
          <w:sz w:val="24"/>
          <w:szCs w:val="24"/>
        </w:rPr>
        <w:t xml:space="preserve">. </w:t>
      </w:r>
      <w:r>
        <w:rPr>
          <w:rFonts w:ascii="Times New Roman" w:hAnsi="Times New Roman" w:cs="Times New Roman"/>
          <w:sz w:val="24"/>
          <w:szCs w:val="24"/>
        </w:rPr>
        <w:t>T</w:t>
      </w:r>
      <w:r w:rsidRPr="008C4B79">
        <w:rPr>
          <w:rFonts w:ascii="Times New Roman" w:hAnsi="Times New Roman" w:cs="Times New Roman"/>
          <w:sz w:val="24"/>
          <w:szCs w:val="24"/>
        </w:rPr>
        <w:t>wo thousand one hundred</w:t>
      </w:r>
      <w:r>
        <w:rPr>
          <w:rFonts w:ascii="Times New Roman" w:hAnsi="Times New Roman" w:cs="Times New Roman"/>
          <w:sz w:val="24"/>
          <w:szCs w:val="24"/>
        </w:rPr>
        <w:t xml:space="preserve"> </w:t>
      </w:r>
      <w:r w:rsidRPr="00020880">
        <w:rPr>
          <w:rFonts w:ascii="Times New Roman" w:hAnsi="Times New Roman" w:cs="Times New Roman"/>
          <w:sz w:val="24"/>
          <w:szCs w:val="24"/>
        </w:rPr>
        <w:t xml:space="preserve">d-old YPM x 708 male broilers were distributed into 70 floor pens and assigned to 1 of 7 treatments (10 replicates/treatment). This </w:t>
      </w:r>
      <w:r>
        <w:rPr>
          <w:rFonts w:ascii="Times New Roman" w:hAnsi="Times New Roman" w:cs="Times New Roman"/>
          <w:sz w:val="24"/>
          <w:szCs w:val="24"/>
        </w:rPr>
        <w:t>experiment</w:t>
      </w:r>
      <w:r w:rsidRPr="00020880" w:rsidDel="00B0181C">
        <w:rPr>
          <w:rFonts w:ascii="Times New Roman" w:hAnsi="Times New Roman" w:cs="Times New Roman"/>
          <w:sz w:val="24"/>
          <w:szCs w:val="24"/>
        </w:rPr>
        <w:t xml:space="preserve"> </w:t>
      </w:r>
      <w:r w:rsidRPr="00020880">
        <w:rPr>
          <w:rFonts w:ascii="Times New Roman" w:hAnsi="Times New Roman" w:cs="Times New Roman"/>
          <w:sz w:val="24"/>
          <w:szCs w:val="24"/>
        </w:rPr>
        <w:t>was a 2 x 3 + 1 factorial arrangement, including 2 limestone particle sizes (910 and 200 µm) and 3 calcium concentrations (adequate, reduced, and low), and an unchallenged control. Dietary calcium was a two-step, 10-point reduction from adequate concentrations</w:t>
      </w:r>
      <w:r>
        <w:rPr>
          <w:rFonts w:ascii="Times New Roman" w:hAnsi="Times New Roman" w:cs="Times New Roman"/>
          <w:sz w:val="24"/>
          <w:szCs w:val="24"/>
        </w:rPr>
        <w:t xml:space="preserve"> (i.e., breeder recommendations)</w:t>
      </w:r>
      <w:r w:rsidRPr="00020880">
        <w:rPr>
          <w:rFonts w:ascii="Times New Roman" w:hAnsi="Times New Roman" w:cs="Times New Roman"/>
          <w:sz w:val="24"/>
          <w:szCs w:val="24"/>
        </w:rPr>
        <w:t xml:space="preserve">. All factorial treatments were enterically challenged with </w:t>
      </w:r>
      <w:r w:rsidRPr="00020880">
        <w:rPr>
          <w:rFonts w:ascii="Times New Roman" w:hAnsi="Times New Roman" w:cs="Times New Roman"/>
          <w:i/>
          <w:iCs/>
          <w:sz w:val="24"/>
          <w:szCs w:val="24"/>
        </w:rPr>
        <w:t>Eimeria</w:t>
      </w:r>
      <w:r w:rsidRPr="00020880">
        <w:rPr>
          <w:rFonts w:ascii="Times New Roman" w:hAnsi="Times New Roman" w:cs="Times New Roman"/>
          <w:sz w:val="24"/>
          <w:szCs w:val="24"/>
        </w:rPr>
        <w:t xml:space="preserve"> spp. and </w:t>
      </w:r>
      <w:r w:rsidRPr="00020880">
        <w:rPr>
          <w:rFonts w:ascii="Times New Roman" w:hAnsi="Times New Roman" w:cs="Times New Roman"/>
          <w:i/>
          <w:iCs/>
          <w:sz w:val="24"/>
          <w:szCs w:val="24"/>
        </w:rPr>
        <w:t>Clostridium perfringens</w:t>
      </w:r>
      <w:r w:rsidRPr="00020880">
        <w:rPr>
          <w:rFonts w:ascii="Times New Roman" w:hAnsi="Times New Roman" w:cs="Times New Roman"/>
          <w:sz w:val="24"/>
          <w:szCs w:val="24"/>
        </w:rPr>
        <w:t xml:space="preserve">. Performance (d 17, 21, 26, and 35), tibia mineralization (d 21 and 35), and nutrient </w:t>
      </w:r>
      <w:r>
        <w:rPr>
          <w:rFonts w:ascii="Times New Roman" w:hAnsi="Times New Roman" w:cs="Times New Roman"/>
          <w:sz w:val="24"/>
          <w:szCs w:val="24"/>
        </w:rPr>
        <w:t>and energy</w:t>
      </w:r>
      <w:r w:rsidRPr="00020880">
        <w:rPr>
          <w:rFonts w:ascii="Times New Roman" w:hAnsi="Times New Roman" w:cs="Times New Roman"/>
          <w:sz w:val="24"/>
          <w:szCs w:val="24"/>
        </w:rPr>
        <w:t xml:space="preserve"> </w:t>
      </w:r>
      <w:r>
        <w:rPr>
          <w:rFonts w:ascii="Times New Roman" w:hAnsi="Times New Roman" w:cs="Times New Roman"/>
          <w:sz w:val="24"/>
          <w:szCs w:val="24"/>
        </w:rPr>
        <w:t>digestibility</w:t>
      </w:r>
      <w:r w:rsidRPr="00020880">
        <w:rPr>
          <w:rFonts w:ascii="Times New Roman" w:hAnsi="Times New Roman" w:cs="Times New Roman"/>
          <w:sz w:val="24"/>
          <w:szCs w:val="24"/>
        </w:rPr>
        <w:t xml:space="preserve"> (d 21 and 35) were measured. The enteric challenge reduced BW and increased feed conversion ratios (</w:t>
      </w:r>
      <w:r w:rsidRPr="00020880">
        <w:rPr>
          <w:rFonts w:ascii="Times New Roman" w:hAnsi="Times New Roman" w:cs="Times New Roman"/>
          <w:b/>
          <w:bCs/>
          <w:sz w:val="24"/>
          <w:szCs w:val="24"/>
        </w:rPr>
        <w:t>FCR</w:t>
      </w:r>
      <w:r w:rsidRPr="00020880">
        <w:rPr>
          <w:rFonts w:ascii="Times New Roman" w:hAnsi="Times New Roman" w:cs="Times New Roman"/>
          <w:sz w:val="24"/>
          <w:szCs w:val="24"/>
        </w:rPr>
        <w:t xml:space="preserve">; </w:t>
      </w:r>
      <w:r>
        <w:rPr>
          <w:rFonts w:ascii="Times New Roman" w:hAnsi="Times New Roman" w:cs="Times New Roman"/>
          <w:sz w:val="24"/>
          <w:szCs w:val="24"/>
        </w:rPr>
        <w:t xml:space="preserve">contrast, </w:t>
      </w:r>
      <w:r w:rsidRPr="00020880">
        <w:rPr>
          <w:rFonts w:ascii="Times New Roman" w:hAnsi="Times New Roman" w:cs="Times New Roman"/>
          <w:i/>
          <w:iCs/>
          <w:sz w:val="24"/>
          <w:szCs w:val="24"/>
        </w:rPr>
        <w:t>P</w:t>
      </w:r>
      <w:r w:rsidRPr="00020880">
        <w:rPr>
          <w:rFonts w:ascii="Times New Roman" w:hAnsi="Times New Roman" w:cs="Times New Roman"/>
          <w:sz w:val="24"/>
          <w:szCs w:val="24"/>
        </w:rPr>
        <w:t xml:space="preserve"> ≤ 0.05). Broilers fed adequate and reduced calcium diets had higher BW, tibia shear strength, and tibia ash on d 35 compared to low calcium diets (main effect, </w:t>
      </w:r>
      <w:r w:rsidRPr="00020880">
        <w:rPr>
          <w:rFonts w:ascii="Times New Roman" w:hAnsi="Times New Roman" w:cs="Times New Roman"/>
          <w:i/>
          <w:iCs/>
          <w:sz w:val="24"/>
          <w:szCs w:val="24"/>
        </w:rPr>
        <w:t>P</w:t>
      </w:r>
      <w:r w:rsidRPr="00020880">
        <w:rPr>
          <w:rFonts w:ascii="Times New Roman" w:hAnsi="Times New Roman" w:cs="Times New Roman"/>
          <w:sz w:val="24"/>
          <w:szCs w:val="24"/>
        </w:rPr>
        <w:t xml:space="preserve"> ≤ 0.05). Day 1 to 35 FCR linearly increased as dietary calcium decreased from adequate to low in the group fed 910 µm limestone</w:t>
      </w:r>
      <w:r>
        <w:rPr>
          <w:rFonts w:ascii="Times New Roman" w:hAnsi="Times New Roman" w:cs="Times New Roman"/>
          <w:sz w:val="24"/>
          <w:szCs w:val="24"/>
        </w:rPr>
        <w:t>, whereas</w:t>
      </w:r>
      <w:r w:rsidRPr="00020880">
        <w:rPr>
          <w:rFonts w:ascii="Times New Roman" w:hAnsi="Times New Roman" w:cs="Times New Roman"/>
          <w:sz w:val="24"/>
          <w:szCs w:val="24"/>
        </w:rPr>
        <w:t xml:space="preserve"> </w:t>
      </w:r>
      <w:r>
        <w:rPr>
          <w:rFonts w:ascii="Times New Roman" w:hAnsi="Times New Roman" w:cs="Times New Roman"/>
          <w:sz w:val="24"/>
          <w:szCs w:val="24"/>
        </w:rPr>
        <w:t>i</w:t>
      </w:r>
      <w:r w:rsidRPr="00020880">
        <w:rPr>
          <w:rFonts w:ascii="Times New Roman" w:hAnsi="Times New Roman" w:cs="Times New Roman"/>
          <w:sz w:val="24"/>
          <w:szCs w:val="24"/>
        </w:rPr>
        <w:t xml:space="preserve">n the 200 µm limestone group, </w:t>
      </w:r>
      <w:r>
        <w:rPr>
          <w:rFonts w:ascii="Times New Roman" w:hAnsi="Times New Roman" w:cs="Times New Roman"/>
          <w:sz w:val="24"/>
          <w:szCs w:val="24"/>
        </w:rPr>
        <w:t xml:space="preserve">only the </w:t>
      </w:r>
      <w:r w:rsidRPr="00020880">
        <w:rPr>
          <w:rFonts w:ascii="Times New Roman" w:hAnsi="Times New Roman" w:cs="Times New Roman"/>
          <w:sz w:val="24"/>
          <w:szCs w:val="24"/>
        </w:rPr>
        <w:t xml:space="preserve">low calcium </w:t>
      </w:r>
      <w:r>
        <w:rPr>
          <w:rFonts w:ascii="Times New Roman" w:hAnsi="Times New Roman" w:cs="Times New Roman"/>
          <w:sz w:val="24"/>
          <w:szCs w:val="24"/>
        </w:rPr>
        <w:t xml:space="preserve">and not the reduced calcium </w:t>
      </w:r>
      <w:r w:rsidRPr="00020880">
        <w:rPr>
          <w:rFonts w:ascii="Times New Roman" w:hAnsi="Times New Roman" w:cs="Times New Roman"/>
          <w:sz w:val="24"/>
          <w:szCs w:val="24"/>
        </w:rPr>
        <w:t xml:space="preserve">led to higher FCR </w:t>
      </w:r>
      <w:r>
        <w:rPr>
          <w:rFonts w:ascii="Times New Roman" w:hAnsi="Times New Roman" w:cs="Times New Roman"/>
          <w:sz w:val="24"/>
          <w:szCs w:val="24"/>
        </w:rPr>
        <w:t xml:space="preserve">compared with those fed adequate calcium </w:t>
      </w:r>
      <w:r w:rsidRPr="00020880">
        <w:rPr>
          <w:rFonts w:ascii="Times New Roman" w:hAnsi="Times New Roman" w:cs="Times New Roman"/>
          <w:sz w:val="24"/>
          <w:szCs w:val="24"/>
        </w:rPr>
        <w:t>(</w:t>
      </w:r>
      <w:r>
        <w:rPr>
          <w:rFonts w:ascii="Times New Roman" w:hAnsi="Times New Roman" w:cs="Times New Roman"/>
          <w:sz w:val="24"/>
          <w:szCs w:val="24"/>
        </w:rPr>
        <w:t xml:space="preserve">interaction, </w:t>
      </w:r>
      <w:r w:rsidRPr="00020880">
        <w:rPr>
          <w:rFonts w:ascii="Times New Roman" w:hAnsi="Times New Roman" w:cs="Times New Roman"/>
          <w:i/>
          <w:iCs/>
          <w:sz w:val="24"/>
          <w:szCs w:val="24"/>
        </w:rPr>
        <w:t>P</w:t>
      </w:r>
      <w:r w:rsidRPr="00020880">
        <w:rPr>
          <w:rFonts w:ascii="Times New Roman" w:hAnsi="Times New Roman" w:cs="Times New Roman"/>
          <w:sz w:val="24"/>
          <w:szCs w:val="24"/>
        </w:rPr>
        <w:t xml:space="preserve"> ≤ 0.05). Broilers fed reduced and low calcium diets with 910 µm limestone had the highest calcium and phosphorus digestibility on d 21. </w:t>
      </w:r>
      <w:r>
        <w:rPr>
          <w:rFonts w:ascii="Times New Roman" w:hAnsi="Times New Roman" w:cs="Times New Roman"/>
          <w:sz w:val="24"/>
          <w:szCs w:val="24"/>
        </w:rPr>
        <w:t xml:space="preserve">With </w:t>
      </w:r>
      <w:r w:rsidRPr="00020880">
        <w:rPr>
          <w:rFonts w:ascii="Times New Roman" w:hAnsi="Times New Roman" w:cs="Times New Roman"/>
          <w:sz w:val="24"/>
          <w:szCs w:val="24"/>
        </w:rPr>
        <w:t>200 µm limestone, broilers fed a low calcium diet had higher mineral digestibility (</w:t>
      </w:r>
      <w:r>
        <w:rPr>
          <w:rFonts w:ascii="Times New Roman" w:hAnsi="Times New Roman" w:cs="Times New Roman"/>
          <w:sz w:val="24"/>
          <w:szCs w:val="24"/>
        </w:rPr>
        <w:t xml:space="preserve">interaction, </w:t>
      </w:r>
      <w:r w:rsidRPr="00020880">
        <w:rPr>
          <w:rFonts w:ascii="Times New Roman" w:hAnsi="Times New Roman" w:cs="Times New Roman"/>
          <w:i/>
          <w:iCs/>
          <w:sz w:val="24"/>
          <w:szCs w:val="24"/>
        </w:rPr>
        <w:t>P</w:t>
      </w:r>
      <w:r w:rsidRPr="00020880">
        <w:rPr>
          <w:rFonts w:ascii="Times New Roman" w:hAnsi="Times New Roman" w:cs="Times New Roman"/>
          <w:sz w:val="24"/>
          <w:szCs w:val="24"/>
        </w:rPr>
        <w:t xml:space="preserve"> ≤ 0.05). Day 35 apparent ileal digestible energy (</w:t>
      </w:r>
      <w:r w:rsidRPr="00020880">
        <w:rPr>
          <w:rFonts w:ascii="Times New Roman" w:hAnsi="Times New Roman" w:cs="Times New Roman"/>
          <w:b/>
          <w:bCs/>
          <w:sz w:val="24"/>
          <w:szCs w:val="24"/>
        </w:rPr>
        <w:t>AIDE</w:t>
      </w:r>
      <w:r w:rsidRPr="00020880">
        <w:rPr>
          <w:rFonts w:ascii="Times New Roman" w:hAnsi="Times New Roman" w:cs="Times New Roman"/>
          <w:sz w:val="24"/>
          <w:szCs w:val="24"/>
        </w:rPr>
        <w:t xml:space="preserve">) increased when broilers consumed an adequate or reduced calcium diet compared to low calcium (main effect, </w:t>
      </w:r>
      <w:r w:rsidRPr="00020880">
        <w:rPr>
          <w:rFonts w:ascii="Times New Roman" w:hAnsi="Times New Roman" w:cs="Times New Roman"/>
          <w:i/>
          <w:iCs/>
          <w:sz w:val="24"/>
          <w:szCs w:val="24"/>
        </w:rPr>
        <w:t>P</w:t>
      </w:r>
      <w:r w:rsidRPr="00020880">
        <w:rPr>
          <w:rFonts w:ascii="Times New Roman" w:hAnsi="Times New Roman" w:cs="Times New Roman"/>
          <w:sz w:val="24"/>
          <w:szCs w:val="24"/>
        </w:rPr>
        <w:t xml:space="preserve"> ≤ 0.05). This </w:t>
      </w:r>
      <w:r>
        <w:rPr>
          <w:rFonts w:ascii="Times New Roman" w:hAnsi="Times New Roman" w:cs="Times New Roman"/>
          <w:sz w:val="24"/>
          <w:szCs w:val="24"/>
        </w:rPr>
        <w:t>experiment</w:t>
      </w:r>
      <w:r w:rsidRPr="00020880" w:rsidDel="00B0181C">
        <w:rPr>
          <w:rFonts w:ascii="Times New Roman" w:hAnsi="Times New Roman" w:cs="Times New Roman"/>
          <w:sz w:val="24"/>
          <w:szCs w:val="24"/>
        </w:rPr>
        <w:t xml:space="preserve"> </w:t>
      </w:r>
      <w:r w:rsidRPr="00020880">
        <w:rPr>
          <w:rFonts w:ascii="Times New Roman" w:hAnsi="Times New Roman" w:cs="Times New Roman"/>
          <w:sz w:val="24"/>
          <w:szCs w:val="24"/>
        </w:rPr>
        <w:t xml:space="preserve">demonstrated dietary calcium </w:t>
      </w:r>
      <w:r>
        <w:rPr>
          <w:rFonts w:ascii="Times New Roman" w:hAnsi="Times New Roman" w:cs="Times New Roman"/>
          <w:sz w:val="24"/>
          <w:szCs w:val="24"/>
        </w:rPr>
        <w:t xml:space="preserve">concentrations </w:t>
      </w:r>
      <w:r w:rsidRPr="00020880">
        <w:rPr>
          <w:rFonts w:ascii="Times New Roman" w:hAnsi="Times New Roman" w:cs="Times New Roman"/>
          <w:sz w:val="24"/>
          <w:szCs w:val="24"/>
        </w:rPr>
        <w:t xml:space="preserve">0.10 </w:t>
      </w:r>
      <w:r>
        <w:rPr>
          <w:rFonts w:ascii="Times New Roman" w:hAnsi="Times New Roman" w:cs="Times New Roman"/>
          <w:sz w:val="24"/>
          <w:szCs w:val="24"/>
        </w:rPr>
        <w:t>percentage units lower than recommended</w:t>
      </w:r>
      <w:r w:rsidRPr="00020880">
        <w:rPr>
          <w:rFonts w:ascii="Times New Roman" w:hAnsi="Times New Roman" w:cs="Times New Roman"/>
          <w:sz w:val="24"/>
          <w:szCs w:val="24"/>
        </w:rPr>
        <w:t xml:space="preserve"> </w:t>
      </w:r>
      <w:r>
        <w:rPr>
          <w:rFonts w:ascii="Times New Roman" w:hAnsi="Times New Roman" w:cs="Times New Roman"/>
          <w:sz w:val="24"/>
          <w:szCs w:val="24"/>
        </w:rPr>
        <w:t>concentrations</w:t>
      </w:r>
      <w:r w:rsidRPr="00020880">
        <w:rPr>
          <w:rFonts w:ascii="Times New Roman" w:hAnsi="Times New Roman" w:cs="Times New Roman"/>
          <w:sz w:val="24"/>
          <w:szCs w:val="24"/>
        </w:rPr>
        <w:t xml:space="preserve"> can maintain broiler performance, tibia </w:t>
      </w:r>
      <w:r w:rsidRPr="00020880">
        <w:rPr>
          <w:rFonts w:ascii="Times New Roman" w:hAnsi="Times New Roman" w:cs="Times New Roman"/>
          <w:sz w:val="24"/>
          <w:szCs w:val="24"/>
        </w:rPr>
        <w:lastRenderedPageBreak/>
        <w:t xml:space="preserve">mineralization, and AIDE during an enteric challenge. However, calcium </w:t>
      </w:r>
      <w:r>
        <w:rPr>
          <w:rFonts w:ascii="Times New Roman" w:hAnsi="Times New Roman" w:cs="Times New Roman"/>
          <w:sz w:val="24"/>
          <w:szCs w:val="24"/>
        </w:rPr>
        <w:t>concentration</w:t>
      </w:r>
      <w:r w:rsidRPr="00020880">
        <w:rPr>
          <w:rFonts w:ascii="Times New Roman" w:hAnsi="Times New Roman" w:cs="Times New Roman"/>
          <w:sz w:val="24"/>
          <w:szCs w:val="24"/>
        </w:rPr>
        <w:t xml:space="preserve"> </w:t>
      </w:r>
      <w:r>
        <w:rPr>
          <w:rFonts w:ascii="Times New Roman" w:hAnsi="Times New Roman" w:cs="Times New Roman"/>
          <w:sz w:val="24"/>
          <w:szCs w:val="24"/>
        </w:rPr>
        <w:t>effects</w:t>
      </w:r>
      <w:r w:rsidRPr="00020880">
        <w:rPr>
          <w:rFonts w:ascii="Times New Roman" w:hAnsi="Times New Roman" w:cs="Times New Roman"/>
          <w:sz w:val="24"/>
          <w:szCs w:val="24"/>
        </w:rPr>
        <w:t xml:space="preserve"> </w:t>
      </w:r>
      <w:r>
        <w:rPr>
          <w:rFonts w:ascii="Times New Roman" w:hAnsi="Times New Roman" w:cs="Times New Roman"/>
          <w:sz w:val="24"/>
          <w:szCs w:val="24"/>
        </w:rPr>
        <w:t>depended</w:t>
      </w:r>
      <w:r w:rsidRPr="00020880">
        <w:rPr>
          <w:rFonts w:ascii="Times New Roman" w:hAnsi="Times New Roman" w:cs="Times New Roman"/>
          <w:sz w:val="24"/>
          <w:szCs w:val="24"/>
        </w:rPr>
        <w:t xml:space="preserve"> on limestone particle size.</w:t>
      </w:r>
      <w:r>
        <w:rPr>
          <w:rFonts w:ascii="Times New Roman" w:hAnsi="Times New Roman" w:cs="Times New Roman"/>
          <w:sz w:val="24"/>
          <w:szCs w:val="24"/>
        </w:rPr>
        <w:t xml:space="preserve"> </w:t>
      </w:r>
    </w:p>
    <w:p w14:paraId="5609B363" w14:textId="77777777" w:rsidR="00E73952" w:rsidRPr="00020880" w:rsidRDefault="00E73952" w:rsidP="00E73952">
      <w:pPr>
        <w:rPr>
          <w:rFonts w:ascii="Times New Roman" w:hAnsi="Times New Roman" w:cs="Times New Roman"/>
          <w:sz w:val="24"/>
          <w:szCs w:val="24"/>
        </w:rPr>
      </w:pPr>
      <w:r w:rsidRPr="00020880">
        <w:rPr>
          <w:rFonts w:ascii="Times New Roman" w:hAnsi="Times New Roman" w:cs="Times New Roman"/>
          <w:b/>
          <w:bCs/>
          <w:sz w:val="24"/>
          <w:szCs w:val="24"/>
        </w:rPr>
        <w:t>Key words</w:t>
      </w:r>
      <w:r w:rsidRPr="00020880">
        <w:rPr>
          <w:rFonts w:ascii="Times New Roman" w:hAnsi="Times New Roman" w:cs="Times New Roman"/>
          <w:sz w:val="24"/>
          <w:szCs w:val="24"/>
        </w:rPr>
        <w:t xml:space="preserve">: limestone particle size, calcium, </w:t>
      </w:r>
      <w:r w:rsidRPr="00020880">
        <w:rPr>
          <w:rFonts w:ascii="Times New Roman" w:hAnsi="Times New Roman" w:cs="Times New Roman"/>
          <w:i/>
          <w:iCs/>
          <w:sz w:val="24"/>
          <w:szCs w:val="24"/>
        </w:rPr>
        <w:t>Eimeria</w:t>
      </w:r>
      <w:r w:rsidRPr="00020880">
        <w:rPr>
          <w:rFonts w:ascii="Times New Roman" w:hAnsi="Times New Roman" w:cs="Times New Roman"/>
          <w:sz w:val="24"/>
          <w:szCs w:val="24"/>
        </w:rPr>
        <w:t xml:space="preserve">, </w:t>
      </w:r>
      <w:r w:rsidRPr="00020880">
        <w:rPr>
          <w:rFonts w:ascii="Times New Roman" w:hAnsi="Times New Roman" w:cs="Times New Roman"/>
          <w:i/>
          <w:iCs/>
          <w:sz w:val="24"/>
          <w:szCs w:val="24"/>
        </w:rPr>
        <w:t>Clostridium perfringens</w:t>
      </w:r>
      <w:r w:rsidRPr="00020880">
        <w:rPr>
          <w:rFonts w:ascii="Times New Roman" w:hAnsi="Times New Roman" w:cs="Times New Roman"/>
          <w:sz w:val="24"/>
          <w:szCs w:val="24"/>
        </w:rPr>
        <w:t>, broiler</w:t>
      </w:r>
      <w:r w:rsidRPr="00020880">
        <w:rPr>
          <w:rFonts w:ascii="Times New Roman" w:hAnsi="Times New Roman" w:cs="Times New Roman"/>
          <w:sz w:val="24"/>
          <w:szCs w:val="24"/>
        </w:rPr>
        <w:br w:type="page"/>
      </w:r>
    </w:p>
    <w:p w14:paraId="4D33C51D" w14:textId="77777777" w:rsidR="00E73952" w:rsidRPr="00020880" w:rsidRDefault="00E73952" w:rsidP="00E73952">
      <w:pPr>
        <w:pStyle w:val="Heading1"/>
        <w:spacing w:line="480" w:lineRule="auto"/>
        <w:rPr>
          <w:rFonts w:ascii="Times New Roman" w:hAnsi="Times New Roman" w:cs="Times New Roman"/>
          <w:b/>
          <w:bCs/>
          <w:color w:val="auto"/>
          <w:sz w:val="24"/>
          <w:szCs w:val="24"/>
        </w:rPr>
      </w:pPr>
      <w:r w:rsidRPr="00020880">
        <w:rPr>
          <w:rFonts w:ascii="Times New Roman" w:hAnsi="Times New Roman" w:cs="Times New Roman"/>
          <w:b/>
          <w:bCs/>
          <w:color w:val="auto"/>
          <w:sz w:val="24"/>
          <w:szCs w:val="24"/>
        </w:rPr>
        <w:lastRenderedPageBreak/>
        <w:t>INTRODUCTION</w:t>
      </w:r>
    </w:p>
    <w:p w14:paraId="561DD5CE" w14:textId="77777777" w:rsidR="00E73952" w:rsidRPr="00020880" w:rsidRDefault="00E73952" w:rsidP="00E73952">
      <w:pPr>
        <w:spacing w:after="0" w:line="480" w:lineRule="auto"/>
        <w:ind w:firstLine="720"/>
        <w:jc w:val="both"/>
        <w:rPr>
          <w:rFonts w:ascii="Times New Roman" w:hAnsi="Times New Roman" w:cs="Times New Roman"/>
          <w:sz w:val="24"/>
          <w:szCs w:val="24"/>
        </w:rPr>
      </w:pPr>
      <w:r w:rsidRPr="00020880">
        <w:rPr>
          <w:rFonts w:ascii="Times New Roman" w:hAnsi="Times New Roman" w:cs="Times New Roman"/>
          <w:sz w:val="24"/>
          <w:szCs w:val="24"/>
        </w:rPr>
        <w:t>Antibacterial growth promotors (</w:t>
      </w:r>
      <w:r w:rsidRPr="00020880">
        <w:rPr>
          <w:rFonts w:ascii="Times New Roman" w:hAnsi="Times New Roman" w:cs="Times New Roman"/>
          <w:b/>
          <w:bCs/>
          <w:sz w:val="24"/>
          <w:szCs w:val="24"/>
        </w:rPr>
        <w:t>AGP</w:t>
      </w:r>
      <w:r w:rsidRPr="00020880">
        <w:rPr>
          <w:rFonts w:ascii="Times New Roman" w:hAnsi="Times New Roman" w:cs="Times New Roman"/>
          <w:sz w:val="24"/>
          <w:szCs w:val="24"/>
        </w:rPr>
        <w:t>) have been used to improve poultry production efficiency, weight gain, and feed conversion (Miles et al., 2006; Maria Cardinal et al., 2019). However, AGP usage has declined in recent years, which may result in reduced broiler performance and higher incidence of diseases such as coccidiosis and necrotic enteritis (</w:t>
      </w:r>
      <w:r w:rsidRPr="00020880">
        <w:rPr>
          <w:rFonts w:ascii="Times New Roman" w:hAnsi="Times New Roman" w:cs="Times New Roman"/>
          <w:b/>
          <w:bCs/>
          <w:sz w:val="24"/>
          <w:szCs w:val="24"/>
        </w:rPr>
        <w:t>NE</w:t>
      </w:r>
      <w:r w:rsidRPr="00020880">
        <w:rPr>
          <w:rFonts w:ascii="Times New Roman" w:hAnsi="Times New Roman" w:cs="Times New Roman"/>
          <w:sz w:val="24"/>
          <w:szCs w:val="24"/>
        </w:rPr>
        <w:t>) (</w:t>
      </w:r>
      <w:proofErr w:type="spellStart"/>
      <w:r w:rsidRPr="00020880">
        <w:rPr>
          <w:rFonts w:ascii="Times New Roman" w:hAnsi="Times New Roman" w:cs="Times New Roman"/>
          <w:sz w:val="24"/>
          <w:szCs w:val="24"/>
        </w:rPr>
        <w:t>Engster</w:t>
      </w:r>
      <w:proofErr w:type="spellEnd"/>
      <w:r w:rsidRPr="00020880">
        <w:rPr>
          <w:rFonts w:ascii="Times New Roman" w:hAnsi="Times New Roman" w:cs="Times New Roman"/>
          <w:sz w:val="24"/>
          <w:szCs w:val="24"/>
        </w:rPr>
        <w:t xml:space="preserve"> et al., 2002; Cervantes, 2015). Necrotic enteritis is a multifactorial enteric disease caused by </w:t>
      </w:r>
      <w:r w:rsidRPr="00020880">
        <w:rPr>
          <w:rFonts w:ascii="Times New Roman" w:hAnsi="Times New Roman" w:cs="Times New Roman"/>
          <w:i/>
          <w:iCs/>
          <w:sz w:val="24"/>
          <w:szCs w:val="24"/>
        </w:rPr>
        <w:t>Clostridium perfringens</w:t>
      </w:r>
      <w:r>
        <w:rPr>
          <w:rFonts w:ascii="Times New Roman" w:hAnsi="Times New Roman" w:cs="Times New Roman"/>
          <w:sz w:val="24"/>
          <w:szCs w:val="24"/>
        </w:rPr>
        <w:t xml:space="preserve">, </w:t>
      </w:r>
      <w:r w:rsidRPr="00020880">
        <w:rPr>
          <w:rFonts w:ascii="Times New Roman" w:hAnsi="Times New Roman" w:cs="Times New Roman"/>
          <w:sz w:val="24"/>
          <w:szCs w:val="24"/>
        </w:rPr>
        <w:t xml:space="preserve">particularly after </w:t>
      </w:r>
      <w:r>
        <w:rPr>
          <w:rFonts w:ascii="Times New Roman" w:hAnsi="Times New Roman" w:cs="Times New Roman"/>
          <w:sz w:val="24"/>
          <w:szCs w:val="24"/>
        </w:rPr>
        <w:t>birds have been predisposed by</w:t>
      </w:r>
      <w:r w:rsidRPr="00020880">
        <w:rPr>
          <w:rFonts w:ascii="Times New Roman" w:hAnsi="Times New Roman" w:cs="Times New Roman"/>
          <w:sz w:val="24"/>
          <w:szCs w:val="24"/>
        </w:rPr>
        <w:t xml:space="preserve"> </w:t>
      </w:r>
      <w:r w:rsidRPr="00020880">
        <w:rPr>
          <w:rFonts w:ascii="Times New Roman" w:hAnsi="Times New Roman" w:cs="Times New Roman"/>
          <w:i/>
          <w:iCs/>
          <w:sz w:val="24"/>
          <w:szCs w:val="24"/>
        </w:rPr>
        <w:t>Eimeria</w:t>
      </w:r>
      <w:r w:rsidRPr="00020880">
        <w:rPr>
          <w:rFonts w:ascii="Times New Roman" w:hAnsi="Times New Roman" w:cs="Times New Roman"/>
          <w:sz w:val="24"/>
          <w:szCs w:val="24"/>
        </w:rPr>
        <w:t xml:space="preserve"> infection (Emami and </w:t>
      </w:r>
      <w:proofErr w:type="spellStart"/>
      <w:r w:rsidRPr="00020880">
        <w:rPr>
          <w:rFonts w:ascii="Times New Roman" w:hAnsi="Times New Roman" w:cs="Times New Roman"/>
          <w:sz w:val="24"/>
          <w:szCs w:val="24"/>
        </w:rPr>
        <w:t>Dalloul</w:t>
      </w:r>
      <w:proofErr w:type="spellEnd"/>
      <w:r w:rsidRPr="00020880">
        <w:rPr>
          <w:rFonts w:ascii="Times New Roman" w:hAnsi="Times New Roman" w:cs="Times New Roman"/>
          <w:sz w:val="24"/>
          <w:szCs w:val="24"/>
        </w:rPr>
        <w:t xml:space="preserve">, 2021). Various nutritional strategies aimed at improving broiler performance and health without AGP have been reviewed to mitigate the severity of these enteric diseases (Dahiya et al., 2006; </w:t>
      </w:r>
      <w:proofErr w:type="spellStart"/>
      <w:r>
        <w:rPr>
          <w:rFonts w:ascii="Times New Roman" w:hAnsi="Times New Roman" w:cs="Times New Roman"/>
          <w:sz w:val="24"/>
          <w:szCs w:val="24"/>
        </w:rPr>
        <w:t>Ayalew</w:t>
      </w:r>
      <w:proofErr w:type="spellEnd"/>
      <w:r w:rsidRPr="00020880">
        <w:rPr>
          <w:rFonts w:ascii="Times New Roman" w:hAnsi="Times New Roman" w:cs="Times New Roman"/>
          <w:sz w:val="24"/>
          <w:szCs w:val="24"/>
        </w:rPr>
        <w:t xml:space="preserve"> et al., 2022). These nutritional strategies primarily rely on feed additives (e.g., organic acids and probiotics), however, controlling dietary calcium concentrations and particle size of the calcium source could be a viable strategy to mitigate enteric disease severity.</w:t>
      </w:r>
    </w:p>
    <w:p w14:paraId="51A02BBB" w14:textId="77777777" w:rsidR="00E73952" w:rsidRPr="00020880" w:rsidRDefault="00E73952" w:rsidP="00E73952">
      <w:pPr>
        <w:spacing w:after="0" w:line="480" w:lineRule="auto"/>
        <w:ind w:firstLine="720"/>
        <w:jc w:val="both"/>
        <w:rPr>
          <w:rFonts w:ascii="Times New Roman" w:hAnsi="Times New Roman" w:cs="Times New Roman"/>
          <w:sz w:val="24"/>
          <w:szCs w:val="24"/>
        </w:rPr>
      </w:pPr>
      <w:r w:rsidRPr="00020880">
        <w:rPr>
          <w:rFonts w:ascii="Times New Roman" w:hAnsi="Times New Roman" w:cs="Times New Roman"/>
          <w:sz w:val="24"/>
          <w:szCs w:val="24"/>
        </w:rPr>
        <w:t>Calcium is an important macro mineral in broiler nutrition, serving as a structural component of bones, intracellular messenger, and cofactor of various enzymes (</w:t>
      </w:r>
      <w:proofErr w:type="spellStart"/>
      <w:r w:rsidRPr="00020880">
        <w:rPr>
          <w:rFonts w:ascii="Times New Roman" w:hAnsi="Times New Roman" w:cs="Times New Roman"/>
          <w:sz w:val="24"/>
          <w:szCs w:val="24"/>
        </w:rPr>
        <w:t>Proszkowiec-Weglarz</w:t>
      </w:r>
      <w:proofErr w:type="spellEnd"/>
      <w:r w:rsidRPr="00020880">
        <w:rPr>
          <w:rFonts w:ascii="Times New Roman" w:hAnsi="Times New Roman" w:cs="Times New Roman"/>
          <w:sz w:val="24"/>
          <w:szCs w:val="24"/>
        </w:rPr>
        <w:t xml:space="preserve"> and Angel, 2013). While adequate calcium is essential for normal development and physiological processes, broiler diets containing high calcium concentrations or highly soluble calcium sources could negatively impact growth and health, particularly under NE challenge conditions (Paiva et al., 2013; Paiva et al., 2014). Due to the low cost and widespread availability of commonly used calcium sources (David et al., 2023), excessive inclusion of calcium in broiler diets is common, emphasizing the need for stricter control over its concentration (Walk, 2016; Li et al., 2017).</w:t>
      </w:r>
    </w:p>
    <w:p w14:paraId="08BA945B" w14:textId="77777777" w:rsidR="00E73952" w:rsidRPr="00020880" w:rsidRDefault="00E73952" w:rsidP="00E73952">
      <w:pPr>
        <w:spacing w:after="0" w:line="480" w:lineRule="auto"/>
        <w:ind w:firstLine="720"/>
        <w:jc w:val="both"/>
        <w:rPr>
          <w:rFonts w:ascii="Times New Roman" w:hAnsi="Times New Roman" w:cs="Times New Roman"/>
          <w:sz w:val="24"/>
          <w:szCs w:val="24"/>
        </w:rPr>
      </w:pPr>
      <w:r w:rsidRPr="00020880">
        <w:rPr>
          <w:rFonts w:ascii="Times New Roman" w:hAnsi="Times New Roman" w:cs="Times New Roman"/>
          <w:sz w:val="24"/>
          <w:szCs w:val="24"/>
        </w:rPr>
        <w:lastRenderedPageBreak/>
        <w:t xml:space="preserve">High calcium </w:t>
      </w:r>
      <w:r>
        <w:rPr>
          <w:rFonts w:ascii="Times New Roman" w:hAnsi="Times New Roman" w:cs="Times New Roman"/>
          <w:sz w:val="24"/>
          <w:szCs w:val="24"/>
        </w:rPr>
        <w:t>concentrations</w:t>
      </w:r>
      <w:r w:rsidRPr="00020880">
        <w:rPr>
          <w:rFonts w:ascii="Times New Roman" w:hAnsi="Times New Roman" w:cs="Times New Roman"/>
          <w:sz w:val="24"/>
          <w:szCs w:val="24"/>
        </w:rPr>
        <w:t xml:space="preserve"> may contribute to NE pathogenicity through multiple mechanisms. It can promote the synthesis and activity of </w:t>
      </w:r>
      <w:proofErr w:type="gramStart"/>
      <w:r w:rsidRPr="00020880">
        <w:rPr>
          <w:rFonts w:ascii="Times New Roman" w:hAnsi="Times New Roman" w:cs="Times New Roman"/>
          <w:sz w:val="24"/>
          <w:szCs w:val="24"/>
        </w:rPr>
        <w:t>NetB</w:t>
      </w:r>
      <w:proofErr w:type="gramEnd"/>
      <w:r w:rsidRPr="00020880">
        <w:rPr>
          <w:rFonts w:ascii="Times New Roman" w:hAnsi="Times New Roman" w:cs="Times New Roman"/>
          <w:sz w:val="24"/>
          <w:szCs w:val="24"/>
        </w:rPr>
        <w:t xml:space="preserve"> and α-toxin produced by </w:t>
      </w:r>
      <w:r w:rsidRPr="00020880">
        <w:rPr>
          <w:rFonts w:ascii="Times New Roman" w:hAnsi="Times New Roman" w:cs="Times New Roman"/>
          <w:i/>
          <w:iCs/>
          <w:sz w:val="24"/>
          <w:szCs w:val="24"/>
        </w:rPr>
        <w:t>C</w:t>
      </w:r>
      <w:r w:rsidRPr="00020880">
        <w:rPr>
          <w:rFonts w:ascii="Times New Roman" w:hAnsi="Times New Roman" w:cs="Times New Roman"/>
          <w:sz w:val="24"/>
          <w:szCs w:val="24"/>
        </w:rPr>
        <w:t>.</w:t>
      </w:r>
      <w:r w:rsidRPr="00020880">
        <w:rPr>
          <w:rFonts w:ascii="Times New Roman" w:hAnsi="Times New Roman" w:cs="Times New Roman"/>
          <w:i/>
          <w:iCs/>
          <w:sz w:val="24"/>
          <w:szCs w:val="24"/>
        </w:rPr>
        <w:t xml:space="preserve"> perfringens</w:t>
      </w:r>
      <w:r w:rsidRPr="00020880">
        <w:rPr>
          <w:rFonts w:ascii="Times New Roman" w:hAnsi="Times New Roman" w:cs="Times New Roman"/>
          <w:sz w:val="24"/>
          <w:szCs w:val="24"/>
        </w:rPr>
        <w:t>, which disrupts the intestinal mucosa (</w:t>
      </w:r>
      <w:proofErr w:type="spellStart"/>
      <w:r w:rsidRPr="00020880">
        <w:rPr>
          <w:rFonts w:ascii="Times New Roman" w:hAnsi="Times New Roman" w:cs="Times New Roman"/>
          <w:sz w:val="24"/>
          <w:szCs w:val="24"/>
        </w:rPr>
        <w:t>Keyburn</w:t>
      </w:r>
      <w:proofErr w:type="spellEnd"/>
      <w:r w:rsidRPr="00020880">
        <w:rPr>
          <w:rFonts w:ascii="Times New Roman" w:hAnsi="Times New Roman" w:cs="Times New Roman"/>
          <w:sz w:val="24"/>
          <w:szCs w:val="24"/>
        </w:rPr>
        <w:t xml:space="preserve"> et al., 2010; Fathima et al., 2022). Furthermore, high calcium </w:t>
      </w:r>
      <w:r>
        <w:rPr>
          <w:rFonts w:ascii="Times New Roman" w:hAnsi="Times New Roman" w:cs="Times New Roman"/>
          <w:sz w:val="24"/>
          <w:szCs w:val="24"/>
        </w:rPr>
        <w:t>concentrations</w:t>
      </w:r>
      <w:r w:rsidRPr="00020880" w:rsidDel="00C933B5">
        <w:rPr>
          <w:rFonts w:ascii="Times New Roman" w:hAnsi="Times New Roman" w:cs="Times New Roman"/>
          <w:sz w:val="24"/>
          <w:szCs w:val="24"/>
        </w:rPr>
        <w:t xml:space="preserve"> </w:t>
      </w:r>
      <w:r w:rsidRPr="00020880">
        <w:rPr>
          <w:rFonts w:ascii="Times New Roman" w:hAnsi="Times New Roman" w:cs="Times New Roman"/>
          <w:sz w:val="24"/>
          <w:szCs w:val="24"/>
        </w:rPr>
        <w:t xml:space="preserve">can increase calcium-phytate complex formation (Selle et al., 2009), resulting in undigested nutrients that can serve as substrates for </w:t>
      </w:r>
      <w:r w:rsidRPr="00020880">
        <w:rPr>
          <w:rFonts w:ascii="Times New Roman" w:hAnsi="Times New Roman" w:cs="Times New Roman"/>
          <w:i/>
          <w:iCs/>
          <w:sz w:val="24"/>
          <w:szCs w:val="24"/>
        </w:rPr>
        <w:t>C</w:t>
      </w:r>
      <w:r w:rsidRPr="00020880">
        <w:rPr>
          <w:rFonts w:ascii="Times New Roman" w:hAnsi="Times New Roman" w:cs="Times New Roman"/>
          <w:sz w:val="24"/>
          <w:szCs w:val="24"/>
        </w:rPr>
        <w:t>.</w:t>
      </w:r>
      <w:r w:rsidRPr="00020880">
        <w:rPr>
          <w:rFonts w:ascii="Times New Roman" w:hAnsi="Times New Roman" w:cs="Times New Roman"/>
          <w:i/>
          <w:iCs/>
          <w:sz w:val="24"/>
          <w:szCs w:val="24"/>
        </w:rPr>
        <w:t xml:space="preserve"> perfringens</w:t>
      </w:r>
      <w:r w:rsidRPr="00020880">
        <w:rPr>
          <w:rFonts w:ascii="Times New Roman" w:hAnsi="Times New Roman" w:cs="Times New Roman"/>
          <w:sz w:val="24"/>
          <w:szCs w:val="24"/>
        </w:rPr>
        <w:t xml:space="preserve"> (Moran, 2014). Beyond dietary calcium concentration, solubility of the calcium source may also influence NE severity (Paiva et al., 2013).</w:t>
      </w:r>
    </w:p>
    <w:p w14:paraId="78DA1E5A" w14:textId="77777777" w:rsidR="00E73952" w:rsidRPr="000F0B96" w:rsidRDefault="00E73952" w:rsidP="00E73952">
      <w:pPr>
        <w:spacing w:after="0" w:line="480" w:lineRule="auto"/>
        <w:ind w:firstLine="720"/>
        <w:jc w:val="both"/>
        <w:rPr>
          <w:rFonts w:ascii="Times New Roman" w:hAnsi="Times New Roman" w:cs="Times New Roman"/>
          <w:sz w:val="24"/>
          <w:szCs w:val="24"/>
        </w:rPr>
      </w:pPr>
      <w:r w:rsidRPr="00020880">
        <w:rPr>
          <w:rFonts w:ascii="Times New Roman" w:hAnsi="Times New Roman" w:cs="Times New Roman"/>
          <w:sz w:val="24"/>
          <w:szCs w:val="24"/>
        </w:rPr>
        <w:t xml:space="preserve">Limestone is a commonly used calcium source in broiler diets worldwide, but its characteristics vary significantly across regions (Gilani et al., 2022). Variation in limestone characteristics such as particle size can influence its solubility, with smaller particles resulting in higher </w:t>
      </w:r>
      <w:r w:rsidRPr="00020880">
        <w:rPr>
          <w:rFonts w:ascii="Times New Roman" w:hAnsi="Times New Roman" w:cs="Times New Roman"/>
          <w:i/>
          <w:iCs/>
          <w:sz w:val="24"/>
          <w:szCs w:val="24"/>
        </w:rPr>
        <w:t>in vitro</w:t>
      </w:r>
      <w:r w:rsidRPr="00020880">
        <w:rPr>
          <w:rFonts w:ascii="Times New Roman" w:hAnsi="Times New Roman" w:cs="Times New Roman"/>
          <w:sz w:val="24"/>
          <w:szCs w:val="24"/>
        </w:rPr>
        <w:t xml:space="preserve"> solubility (de Witt et al., 2006; Kim et al., 2019), but a lower </w:t>
      </w:r>
      <w:r w:rsidRPr="00020880">
        <w:rPr>
          <w:rFonts w:ascii="Times New Roman" w:hAnsi="Times New Roman" w:cs="Times New Roman"/>
          <w:i/>
          <w:iCs/>
          <w:sz w:val="24"/>
          <w:szCs w:val="24"/>
        </w:rPr>
        <w:t>in vivo</w:t>
      </w:r>
      <w:r w:rsidRPr="00020880">
        <w:rPr>
          <w:rFonts w:ascii="Times New Roman" w:hAnsi="Times New Roman" w:cs="Times New Roman"/>
          <w:sz w:val="24"/>
          <w:szCs w:val="24"/>
        </w:rPr>
        <w:t xml:space="preserve"> solubility (</w:t>
      </w:r>
      <w:bookmarkStart w:id="2" w:name="_Hlk185354776"/>
      <w:r w:rsidRPr="00020880">
        <w:rPr>
          <w:rFonts w:ascii="Times New Roman" w:hAnsi="Times New Roman" w:cs="Times New Roman"/>
          <w:sz w:val="24"/>
          <w:szCs w:val="24"/>
        </w:rPr>
        <w:t>de Witt et al., 2006</w:t>
      </w:r>
      <w:bookmarkEnd w:id="2"/>
      <w:r w:rsidRPr="00020880">
        <w:rPr>
          <w:rFonts w:ascii="Times New Roman" w:hAnsi="Times New Roman" w:cs="Times New Roman"/>
          <w:sz w:val="24"/>
          <w:szCs w:val="24"/>
        </w:rPr>
        <w:t>). When comparing particulate (402 μm) and pulverized limestone (&lt; 75 μm), Kim et al. (2018) reported that pulverized limestone negatively impacted apparent ileal digestibility (</w:t>
      </w:r>
      <w:r w:rsidRPr="00020880">
        <w:rPr>
          <w:rFonts w:ascii="Times New Roman" w:hAnsi="Times New Roman" w:cs="Times New Roman"/>
          <w:b/>
          <w:bCs/>
          <w:sz w:val="24"/>
          <w:szCs w:val="24"/>
        </w:rPr>
        <w:t>AID</w:t>
      </w:r>
      <w:r w:rsidRPr="00020880">
        <w:rPr>
          <w:rFonts w:ascii="Times New Roman" w:hAnsi="Times New Roman" w:cs="Times New Roman"/>
          <w:sz w:val="24"/>
          <w:szCs w:val="24"/>
        </w:rPr>
        <w:t>) of calcium and phosphorus</w:t>
      </w:r>
      <w:r>
        <w:rPr>
          <w:rFonts w:ascii="Times New Roman" w:hAnsi="Times New Roman" w:cs="Times New Roman"/>
          <w:sz w:val="24"/>
          <w:szCs w:val="24"/>
        </w:rPr>
        <w:t xml:space="preserve"> (</w:t>
      </w:r>
      <w:r w:rsidRPr="00ED5585">
        <w:rPr>
          <w:rFonts w:ascii="Times New Roman" w:hAnsi="Times New Roman" w:cs="Times New Roman"/>
          <w:b/>
          <w:bCs/>
          <w:sz w:val="24"/>
          <w:szCs w:val="24"/>
        </w:rPr>
        <w:t>P</w:t>
      </w:r>
      <w:r>
        <w:rPr>
          <w:rFonts w:ascii="Times New Roman" w:hAnsi="Times New Roman" w:cs="Times New Roman"/>
          <w:sz w:val="24"/>
          <w:szCs w:val="24"/>
        </w:rPr>
        <w:t>)</w:t>
      </w:r>
      <w:r w:rsidRPr="00020880">
        <w:rPr>
          <w:rFonts w:ascii="Times New Roman" w:hAnsi="Times New Roman" w:cs="Times New Roman"/>
          <w:sz w:val="24"/>
          <w:szCs w:val="24"/>
        </w:rPr>
        <w:t xml:space="preserve">. Furthermore, </w:t>
      </w:r>
      <w:bookmarkStart w:id="3" w:name="_Hlk187052117"/>
      <w:r w:rsidRPr="00020880">
        <w:rPr>
          <w:rFonts w:ascii="Times New Roman" w:hAnsi="Times New Roman" w:cs="Times New Roman"/>
          <w:sz w:val="24"/>
          <w:szCs w:val="24"/>
        </w:rPr>
        <w:t xml:space="preserve">Paiva </w:t>
      </w:r>
      <w:bookmarkEnd w:id="3"/>
      <w:r w:rsidRPr="00020880">
        <w:rPr>
          <w:rFonts w:ascii="Times New Roman" w:hAnsi="Times New Roman" w:cs="Times New Roman"/>
          <w:sz w:val="24"/>
          <w:szCs w:val="24"/>
        </w:rPr>
        <w:t xml:space="preserve">et al. (2013 and 2014) reported a negative impact of higher dietary calcium concentrations and calcium solubility on broiler growth during a naturally occurring clinical NE challenge. </w:t>
      </w:r>
      <w:proofErr w:type="spellStart"/>
      <w:r w:rsidRPr="00020880">
        <w:rPr>
          <w:rFonts w:ascii="Times New Roman" w:hAnsi="Times New Roman" w:cs="Times New Roman"/>
          <w:sz w:val="24"/>
          <w:szCs w:val="24"/>
        </w:rPr>
        <w:t>Zanu</w:t>
      </w:r>
      <w:proofErr w:type="spellEnd"/>
      <w:r w:rsidRPr="00020880">
        <w:rPr>
          <w:rFonts w:ascii="Times New Roman" w:hAnsi="Times New Roman" w:cs="Times New Roman"/>
          <w:sz w:val="24"/>
          <w:szCs w:val="24"/>
        </w:rPr>
        <w:t xml:space="preserve"> et al. (2020a) expanded on this by examining dietary calcium and phytase </w:t>
      </w:r>
      <w:r>
        <w:rPr>
          <w:rFonts w:ascii="Times New Roman" w:hAnsi="Times New Roman" w:cs="Times New Roman"/>
          <w:sz w:val="24"/>
          <w:szCs w:val="24"/>
        </w:rPr>
        <w:t>concentrations</w:t>
      </w:r>
      <w:r w:rsidRPr="00020880" w:rsidDel="00C933B5">
        <w:rPr>
          <w:rFonts w:ascii="Times New Roman" w:hAnsi="Times New Roman" w:cs="Times New Roman"/>
          <w:sz w:val="24"/>
          <w:szCs w:val="24"/>
        </w:rPr>
        <w:t xml:space="preserve"> </w:t>
      </w:r>
      <w:r w:rsidRPr="00020880">
        <w:rPr>
          <w:rFonts w:ascii="Times New Roman" w:hAnsi="Times New Roman" w:cs="Times New Roman"/>
          <w:sz w:val="24"/>
          <w:szCs w:val="24"/>
        </w:rPr>
        <w:t xml:space="preserve">during a subclinical NE challenge, finding that higher dietary calcium combined with the NE challenge reduced CP, carbon, potassium, and zinc digestibility. However, there is still limited data on the response of broilers fed varying limestone particle size and calcium concentrations under subclinical NE conditions. Therefore, the objective of the current </w:t>
      </w:r>
      <w:r>
        <w:rPr>
          <w:rFonts w:ascii="Times New Roman" w:hAnsi="Times New Roman" w:cs="Times New Roman"/>
          <w:sz w:val="24"/>
          <w:szCs w:val="24"/>
        </w:rPr>
        <w:t>experiment</w:t>
      </w:r>
      <w:r w:rsidRPr="00020880" w:rsidDel="00B0181C">
        <w:rPr>
          <w:rFonts w:ascii="Times New Roman" w:hAnsi="Times New Roman" w:cs="Times New Roman"/>
          <w:sz w:val="24"/>
          <w:szCs w:val="24"/>
        </w:rPr>
        <w:t xml:space="preserve"> </w:t>
      </w:r>
      <w:r w:rsidRPr="00020880">
        <w:rPr>
          <w:rFonts w:ascii="Times New Roman" w:hAnsi="Times New Roman" w:cs="Times New Roman"/>
          <w:sz w:val="24"/>
          <w:szCs w:val="24"/>
        </w:rPr>
        <w:t xml:space="preserve">was to challenge broilers with </w:t>
      </w:r>
      <w:r w:rsidRPr="00020880">
        <w:rPr>
          <w:rFonts w:ascii="Times New Roman" w:hAnsi="Times New Roman" w:cs="Times New Roman"/>
          <w:i/>
          <w:iCs/>
          <w:sz w:val="24"/>
          <w:szCs w:val="24"/>
        </w:rPr>
        <w:t>Eimeria</w:t>
      </w:r>
      <w:r w:rsidRPr="00020880">
        <w:rPr>
          <w:rFonts w:ascii="Times New Roman" w:hAnsi="Times New Roman" w:cs="Times New Roman"/>
          <w:sz w:val="24"/>
          <w:szCs w:val="24"/>
        </w:rPr>
        <w:t xml:space="preserve"> spp. and </w:t>
      </w:r>
      <w:r w:rsidRPr="00020880">
        <w:rPr>
          <w:rFonts w:ascii="Times New Roman" w:hAnsi="Times New Roman" w:cs="Times New Roman"/>
          <w:i/>
          <w:iCs/>
          <w:sz w:val="24"/>
          <w:szCs w:val="24"/>
        </w:rPr>
        <w:t>C</w:t>
      </w:r>
      <w:r w:rsidRPr="00020880">
        <w:rPr>
          <w:rFonts w:ascii="Times New Roman" w:hAnsi="Times New Roman" w:cs="Times New Roman"/>
          <w:sz w:val="24"/>
          <w:szCs w:val="24"/>
        </w:rPr>
        <w:t>.</w:t>
      </w:r>
      <w:r w:rsidRPr="00020880">
        <w:rPr>
          <w:rFonts w:ascii="Times New Roman" w:hAnsi="Times New Roman" w:cs="Times New Roman"/>
          <w:i/>
          <w:iCs/>
          <w:sz w:val="24"/>
          <w:szCs w:val="24"/>
        </w:rPr>
        <w:t xml:space="preserve"> perfringens</w:t>
      </w:r>
      <w:r w:rsidRPr="00020880">
        <w:rPr>
          <w:rFonts w:ascii="Times New Roman" w:hAnsi="Times New Roman" w:cs="Times New Roman"/>
          <w:sz w:val="24"/>
          <w:szCs w:val="24"/>
        </w:rPr>
        <w:t xml:space="preserve"> and evaluate the interactive effects of limestone particle size and calcium concentrations on performance, tibia </w:t>
      </w:r>
      <w:r w:rsidRPr="000F0B96">
        <w:rPr>
          <w:rFonts w:ascii="Times New Roman" w:hAnsi="Times New Roman" w:cs="Times New Roman"/>
          <w:sz w:val="24"/>
          <w:szCs w:val="24"/>
        </w:rPr>
        <w:t xml:space="preserve">mineralization, and nutrient </w:t>
      </w:r>
      <w:r>
        <w:rPr>
          <w:rFonts w:ascii="Times New Roman" w:hAnsi="Times New Roman" w:cs="Times New Roman"/>
          <w:sz w:val="24"/>
          <w:szCs w:val="24"/>
        </w:rPr>
        <w:t>digestibility</w:t>
      </w:r>
      <w:r w:rsidRPr="000F0B96">
        <w:rPr>
          <w:rFonts w:ascii="Times New Roman" w:hAnsi="Times New Roman" w:cs="Times New Roman"/>
          <w:sz w:val="24"/>
          <w:szCs w:val="24"/>
        </w:rPr>
        <w:t>.</w:t>
      </w:r>
    </w:p>
    <w:p w14:paraId="1B0457B9" w14:textId="77777777" w:rsidR="00322876" w:rsidRDefault="00322876"/>
    <w:sectPr w:rsidR="00322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52"/>
    <w:rsid w:val="00126E4E"/>
    <w:rsid w:val="00243652"/>
    <w:rsid w:val="00322876"/>
    <w:rsid w:val="00BC327E"/>
    <w:rsid w:val="00E403EF"/>
    <w:rsid w:val="00E7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01053"/>
  <w15:chartTrackingRefBased/>
  <w15:docId w15:val="{C1BF1382-8CAE-4D41-AAC0-F8A68161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952"/>
    <w:pPr>
      <w:spacing w:after="160" w:line="256" w:lineRule="auto"/>
    </w:pPr>
    <w:rPr>
      <w:kern w:val="0"/>
      <w:sz w:val="22"/>
      <w:szCs w:val="22"/>
      <w14:ligatures w14:val="none"/>
    </w:rPr>
  </w:style>
  <w:style w:type="paragraph" w:styleId="Heading1">
    <w:name w:val="heading 1"/>
    <w:basedOn w:val="Normal"/>
    <w:next w:val="Normal"/>
    <w:link w:val="Heading1Char"/>
    <w:uiPriority w:val="9"/>
    <w:qFormat/>
    <w:rsid w:val="00E73952"/>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73952"/>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73952"/>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73952"/>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73952"/>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73952"/>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73952"/>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73952"/>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73952"/>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952"/>
    <w:rPr>
      <w:rFonts w:eastAsiaTheme="majorEastAsia" w:cstheme="majorBidi"/>
      <w:color w:val="272727" w:themeColor="text1" w:themeTint="D8"/>
    </w:rPr>
  </w:style>
  <w:style w:type="paragraph" w:styleId="Title">
    <w:name w:val="Title"/>
    <w:basedOn w:val="Normal"/>
    <w:next w:val="Normal"/>
    <w:link w:val="TitleChar"/>
    <w:uiPriority w:val="10"/>
    <w:qFormat/>
    <w:rsid w:val="00E7395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73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952"/>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73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952"/>
    <w:pPr>
      <w:spacing w:before="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73952"/>
    <w:rPr>
      <w:i/>
      <w:iCs/>
      <w:color w:val="404040" w:themeColor="text1" w:themeTint="BF"/>
    </w:rPr>
  </w:style>
  <w:style w:type="paragraph" w:styleId="ListParagraph">
    <w:name w:val="List Paragraph"/>
    <w:basedOn w:val="Normal"/>
    <w:uiPriority w:val="34"/>
    <w:qFormat/>
    <w:rsid w:val="00E73952"/>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E73952"/>
    <w:rPr>
      <w:i/>
      <w:iCs/>
      <w:color w:val="0F4761" w:themeColor="accent1" w:themeShade="BF"/>
    </w:rPr>
  </w:style>
  <w:style w:type="paragraph" w:styleId="IntenseQuote">
    <w:name w:val="Intense Quote"/>
    <w:basedOn w:val="Normal"/>
    <w:next w:val="Normal"/>
    <w:link w:val="IntenseQuoteChar"/>
    <w:uiPriority w:val="30"/>
    <w:qFormat/>
    <w:rsid w:val="00E73952"/>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73952"/>
    <w:rPr>
      <w:i/>
      <w:iCs/>
      <w:color w:val="0F4761" w:themeColor="accent1" w:themeShade="BF"/>
    </w:rPr>
  </w:style>
  <w:style w:type="character" w:styleId="IntenseReference">
    <w:name w:val="Intense Reference"/>
    <w:basedOn w:val="DefaultParagraphFont"/>
    <w:uiPriority w:val="32"/>
    <w:qFormat/>
    <w:rsid w:val="00E73952"/>
    <w:rPr>
      <w:b/>
      <w:bCs/>
      <w:smallCaps/>
      <w:color w:val="0F4761" w:themeColor="accent1" w:themeShade="BF"/>
      <w:spacing w:val="5"/>
    </w:rPr>
  </w:style>
  <w:style w:type="character" w:styleId="Hyperlink">
    <w:name w:val="Hyperlink"/>
    <w:basedOn w:val="DefaultParagraphFont"/>
    <w:uiPriority w:val="99"/>
    <w:unhideWhenUsed/>
    <w:rsid w:val="00E73952"/>
    <w:rPr>
      <w:color w:val="467886" w:themeColor="hyperlink"/>
      <w:u w:val="single"/>
    </w:rPr>
  </w:style>
  <w:style w:type="character" w:styleId="LineNumber">
    <w:name w:val="line number"/>
    <w:basedOn w:val="DefaultParagraphFont"/>
    <w:uiPriority w:val="99"/>
    <w:semiHidden/>
    <w:unhideWhenUsed/>
    <w:rsid w:val="00E73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Waqar Tabish</dc:creator>
  <cp:keywords/>
  <dc:description/>
  <cp:lastModifiedBy>Rana Waqar Tabish</cp:lastModifiedBy>
  <cp:revision>1</cp:revision>
  <dcterms:created xsi:type="dcterms:W3CDTF">2025-03-24T23:19:00Z</dcterms:created>
  <dcterms:modified xsi:type="dcterms:W3CDTF">2025-03-24T23:20:00Z</dcterms:modified>
</cp:coreProperties>
</file>