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Practices</w:t>
      </w:r>
    </w:p>
    <w:p>
      <w:r>
        <w:t>অধ্যায় ১৯  •  পেশাগত দায়িত্ব, কারিগরি ড্রয়িং ও নৈতিক আচরণ</w:t>
      </w:r>
    </w:p>
    <w:p>
      <w:r>
        <w:t>AIDT Professional Practices | বিষয় কোড ৬৮৭৭৪ | ৭ম পর্ব</w:t>
      </w:r>
    </w:p>
    <w:p>
      <w:r>
        <w:t>স্থাপত্য ও নির্মাণ প্রকল্পে দায়িত্বের সুস্পষ্ট বণ্টন, সঠিক ড্রয়িং এবং নৈতিক পেশাগত আচরণ একে অপরের পরিপূরক। এই অধ্যায়ে দাপ্তরিক ও সাইটের কাজ, নির্মাণ ড্রয়িংয়ের ব্যবহার এবং IAB-এর Code of Ethics &amp; Professional Conduct 2018-সংক্রান্ত শিক্ষামূলক আলোচনা একত্র করা হয়েছে।</w:t>
      </w:r>
    </w:p>
    <w:p>
      <w:r>
        <w:t>প্রদত্ত তিনটি নথির একই বিষয়ের পুনরাবৃত্ত ব্যাখ্যা ও প্রশ্নোত্তর একীভূত করা হয়েছে। স্বতন্ত্র তথ্য ও প্রাসঙ্গিক উদাহরণ রাখা হয়েছে; নৈতিকতার অংশটি সরবরাহকৃত শিক্ষামূলক নোটের সংকলন, মূল আচরণবিধির হুবহু পাঠ নয়।</w:t>
      </w:r>
    </w:p>
    <w:p>
      <w:pPr>
        <w:pStyle w:val="Heading1"/>
      </w:pPr>
      <w:r>
        <w:t>১ পেশাগত ভূমিকা ও দায়িত্ব</w:t>
      </w:r>
    </w:p>
    <w:p>
      <w:pPr>
        <w:pStyle w:val="Heading2"/>
      </w:pPr>
      <w:r>
        <w:t>১.১ ইন্টেরিয়র ডিজাইনারের কাজ</w:t>
      </w:r>
    </w:p>
    <w:p>
      <w:r>
        <w:t>ইন্টেরিয়র ডিজাইনার অভ্যন্তরীণ স্থানকে ব্যবহারোপযোগী ও নান্দনিক করতে পরিকল্পনা, উপাদান নির্বাচন এবং বাস্তবায়ন সমন্বয় করেন।</w:t>
      </w:r>
    </w:p>
    <w:p>
      <w:pPr>
        <w:pStyle w:val="ListBullet"/>
      </w:pPr>
      <w:r>
        <w:t>ক্লায়েন্টের চাহিদা, বাজেট ও ব্যবহারের ধরন অনুযায়ী অভ্যন্তরীণ নকশা ও সাজসজ্জার পরিকল্পনা তৈরি এবং প্রয়োজনমতো সংশোধন করা।</w:t>
      </w:r>
    </w:p>
    <w:p>
      <w:pPr>
        <w:pStyle w:val="ListBullet"/>
      </w:pPr>
      <w:r>
        <w:t>কক্ষের উপযোগিতা ও আলোর প্রাপ্যতা বিবেচনায় রং, আসবাবপত্রের বিন্যাস, আলোকসজ্জা এবং পর্দার উপাদান নির্বাচন করা।</w:t>
      </w:r>
    </w:p>
    <w:p>
      <w:pPr>
        <w:pStyle w:val="ListBullet"/>
      </w:pPr>
      <w:r>
        <w:t>মিস্ত্রি ও ঠিকাদারকে নকশার মাপ, উপাদান ও কাজের পদ্ধতি বুঝিয়ে দেওয়া; নির্মাণ ও ফিট-আউট কাজের মান নিয়ন্ত্রণ ও তদারকি করা।</w:t>
      </w:r>
    </w:p>
    <w:p>
      <w:pPr>
        <w:pStyle w:val="ListBullet"/>
      </w:pPr>
      <w:r>
        <w:t>প্রয়োজন হলে ক্লায়েন্ট ও নির্মাণ দলের বোঝার সুবিধার্থে ত্রিমাত্রিক ভিউ বা রেন্ডারিং প্রস্তুত করা।</w:t>
      </w:r>
    </w:p>
    <w:p>
      <w:pPr>
        <w:pStyle w:val="Heading2"/>
      </w:pPr>
      <w:r>
        <w:t>১.২ উপসহকারী স্থপতি ও ড্রাফটসম্যানের দাপ্তরিক কাজ</w:t>
      </w:r>
    </w:p>
    <w:p>
      <w:pPr>
        <w:pStyle w:val="ListBullet"/>
      </w:pPr>
      <w:r>
        <w:t>দায়িত্বপ্রাপ্ত স্থপতির নির্দেশনা অনুযায়ী নকশা প্রস্তুত, পরিবর্তন, পরিবর্ধন ও হালনাগাদ করা।</w:t>
      </w:r>
    </w:p>
    <w:p>
      <w:pPr>
        <w:pStyle w:val="ListBullet"/>
      </w:pPr>
      <w:r>
        <w:t>Working Drawing, Detail Drawing, Presentation Drawing এবং কর্তৃপক্ষের অনুমোদনের জন্য Approval Drawing প্রস্তুত করা; প্রয়োজনে ত্রিমাত্রিক নকশা তৈরি করা।</w:t>
      </w:r>
    </w:p>
    <w:p>
      <w:pPr>
        <w:pStyle w:val="ListBullet"/>
      </w:pPr>
      <w:r>
        <w:t>সাইটের Layout Plan তৈরি এবং প্রকল্পের ড্রয়িং, শিট ও সংশ্লিষ্ট নথি সংরক্ষণ করা।</w:t>
      </w:r>
    </w:p>
    <w:p>
      <w:pPr>
        <w:pStyle w:val="ListBullet"/>
      </w:pPr>
      <w:r>
        <w:t>পরিমাপ ও নকশার বাস্তব প্রয়োগ পর্যবেক্ষণের জন্য সাইট পরিদর্শন করা।</w:t>
      </w:r>
    </w:p>
    <w:p>
      <w:pPr>
        <w:pStyle w:val="ListBullet"/>
      </w:pPr>
      <w:r>
        <w:t>অনুমোদিত নকশা প্রিন্ট বা প্লট করে ডিজিটাল ও মুদ্রিত আর্কাইভে সংরক্ষণ এবং অফিসের অর্পিত অন্যান্য কাজ সম্পন্ন করা।</w:t>
      </w:r>
    </w:p>
    <w:p>
      <w:pPr>
        <w:pStyle w:val="Heading2"/>
      </w:pPr>
      <w:r>
        <w:t>১.৩ সাইটে দায়িত্ব ও পরিদর্শন</w:t>
      </w:r>
    </w:p>
    <w:p>
      <w:r>
        <w:t>সাইটে ডিপ্লোমা স্থপতি বা উপসহকারী প্রকৌশলীর কাজ প্রকল্পের পর্যায় অনুযায়ী বদলে যায়। নিয়মিত তদারকি ও নির্মাণকালীন সাইট ভিজিটের অভিন্ন কাজগুলো নিচে একত্রে দেওয়া হলো।</w:t>
      </w:r>
    </w:p>
    <w:p>
      <w:pPr>
        <w:pStyle w:val="Heading3"/>
      </w:pPr>
      <w:r>
        <w:t>নকশা প্রণয়নের আগে</w:t>
      </w:r>
    </w:p>
    <w:p>
      <w:pPr>
        <w:pStyle w:val="ListBullet"/>
      </w:pPr>
      <w:r>
        <w:t>সাইটের সীমানা, সংলগ্ন রাস্তার অবস্থান ও প্রশস্ততা পরিমাপ করে নথিভুক্ত করা।</w:t>
      </w:r>
    </w:p>
    <w:p>
      <w:pPr>
        <w:pStyle w:val="ListBullet"/>
      </w:pPr>
      <w:r>
        <w:t>চারপাশের অবকাঠামো এবং বিদ্যুৎ, গ্যাস, পানি, ড্রেনেজ, ম্যানহোল ও সিউয়েজ লাইনের অবস্থান চিহ্নিত করা।</w:t>
      </w:r>
    </w:p>
    <w:p>
      <w:pPr>
        <w:pStyle w:val="ListBullet"/>
      </w:pPr>
      <w:r>
        <w:t>গাছপালা, পুকুর, ডোবা, ভূমির উচ্চতার পার্থক্য এবং বিদ্যমান বা পরিত্যক্ত কাঠামোর অবস্থান রেকর্ড করা; ভবিষ্যৎ স্থাপনার সম্ভাবনা সম্পর্কে ধারণা নেওয়া।</w:t>
      </w:r>
    </w:p>
    <w:p>
      <w:pPr>
        <w:pStyle w:val="ListBullet"/>
      </w:pPr>
      <w:r>
        <w:t>আবহাওয়া, বৃষ্টিপাত ও বন্যার তথ্য সংগ্রহ করে Site Report বা Digital Survey Report জমা দেওয়া।</w:t>
      </w:r>
    </w:p>
    <w:p>
      <w:pPr>
        <w:pStyle w:val="Heading3"/>
      </w:pPr>
      <w:r>
        <w:t>নির্মাণ চলাকালে</w:t>
      </w:r>
    </w:p>
    <w:p>
      <w:pPr>
        <w:pStyle w:val="ListBullet"/>
      </w:pPr>
      <w:r>
        <w:t>অনুমোদিত স্থাপত্য নকশা ও স্পেসিফিকেশন অনুযায়ী কাজ হচ্ছে কি না এবং নির্মাণপদ্ধতি সঠিক কি না পরীক্ষা করা।</w:t>
      </w:r>
    </w:p>
    <w:p>
      <w:pPr>
        <w:pStyle w:val="ListBullet"/>
      </w:pPr>
      <w:r>
        <w:t>রড, সিমেন্ট, বালু, পাথরসহ নির্মাণসামগ্রীর মান যাচাই ও প্রয়োজনে পরীক্ষা করা; ত্রুটিযুক্ত উপকরণ বা কাজ শনাক্ত করে সংশোধনের ব্যবস্থা নেওয়া।</w:t>
      </w:r>
    </w:p>
    <w:p>
      <w:pPr>
        <w:pStyle w:val="ListBullet"/>
      </w:pPr>
      <w:r>
        <w:t>শ্রমিক, মিস্ত্রি ও সুপারভাইজারকে কাজের মাপ ও পদ্ধতি বুঝিয়ে দেওয়া; সাইটের সমস্যার সমাধান ও পরবর্তী কাজের নির্দেশনা দেওয়া।</w:t>
      </w:r>
    </w:p>
    <w:p>
      <w:pPr>
        <w:pStyle w:val="ListBullet"/>
      </w:pPr>
      <w:r>
        <w:t>নির্মিত অংশের মাপ যাচাই ও নথিভুক্ত করা এবং মূল ও সংশোধিত ড্রয়িং হালনাগাদ অবস্থায় সংরক্ষণ করা।</w:t>
      </w:r>
    </w:p>
    <w:p>
      <w:pPr>
        <w:pStyle w:val="ListBullet"/>
      </w:pPr>
      <w:r>
        <w:t>শ্রমিকদের নিরাপত্তা পর্যবেক্ষণ, সময়সূচি অনুযায়ী অগ্রগতি মনিটরিং এবং প্রকল্প দলের সঙ্গে সমন্বয় করা।</w:t>
      </w:r>
    </w:p>
    <w:p>
      <w:pPr>
        <w:pStyle w:val="ListBullet"/>
      </w:pPr>
      <w:r>
        <w:t>দৈনিক অগ্রগতি প্রতিবেদন বা Daily Progress Report এবং পরিদর্শন প্রতিবেদন তৈরি ও জমা দেওয়া।</w:t>
      </w:r>
    </w:p>
    <w:p>
      <w:pPr>
        <w:pStyle w:val="Heading2"/>
      </w:pPr>
      <w:r>
        <w:t>১.৪ ইমারত পরিদর্শকের কাজ</w:t>
      </w:r>
    </w:p>
    <w:p>
      <w:pPr>
        <w:pStyle w:val="ListBullet"/>
      </w:pPr>
      <w:r>
        <w:t>নির্মাণের আগে: Land Use Certificate এবং প্রস্তাবিত ভবনের Occupancy Type যাচাই করা।</w:t>
      </w:r>
    </w:p>
    <w:p>
      <w:pPr>
        <w:pStyle w:val="ListBullet"/>
      </w:pPr>
      <w:r>
        <w:t>নির্মাণ চলাকালে: অনুমোদিত ড্রয়িং, সেটব্যাক, উচ্চতা ও স্পেসিফিকেশনের সঙ্গে কাজের সামঞ্জস্য, সাইটের নিরাপত্তা এবং পার্শ্ববর্তী প্লটের ক্ষতির সম্ভাবনা পরীক্ষা করা।</w:t>
      </w:r>
    </w:p>
    <w:p>
      <w:pPr>
        <w:pStyle w:val="ListBullet"/>
      </w:pPr>
      <w:r>
        <w:t>নির্মাণের পরে: অনুমোদনবহির্ভূত সম্প্রসারণ বা অতিরিক্ত নির্মাণ এবং ভবনের ব্যবহার পরিবর্তন হয়েছে কি না যাচাই করা; সংশ্লিষ্ট সনদ প্রদানের জন্য প্রয়োজনীয় পরীক্ষা সম্পন্ন করা।</w:t>
      </w:r>
    </w:p>
    <w:p>
      <w:pPr>
        <w:pStyle w:val="Heading1"/>
      </w:pPr>
      <w:r>
        <w:t>২ কারিগরি ড্রয়িংয়ের প্রকারভেদ</w:t>
      </w:r>
    </w:p>
    <w:p>
      <w:r>
        <w:t>ড্রয়িংয়ের উদ্দেশ্য অনুযায়ী তথ্যের মাত্রা ও উপস্থাপন বদলে যায়। নিচে প্রতিটি ধরনের সংজ্ঞা, ব্যবহার ও উদাহরণ একবার করে উপস্থাপন করা হয়েছে।</w:t>
      </w:r>
    </w:p>
    <w:p>
      <w:pPr>
        <w:pStyle w:val="Heading2"/>
      </w:pPr>
      <w:r>
        <w:t>২.১ Presentation Drawing</w:t>
      </w:r>
    </w:p>
    <w:p>
      <w:r>
        <w:t>প্রকল্পের ধারণা ও নান্দনিক রূপ ক্লায়েন্ট, জনসাধারণ বা অনুমোদনকারী সংস্থার সামনে উপস্থাপনের চিত্র হলো Presentation Drawing। এটি প্রাথমিক আলোচনা, ধারণা বোঝানো ও অনুমোদনের কাজে সহায়তা করে।</w:t>
      </w:r>
    </w:p>
    <w:p>
      <w:r>
        <w:t>এতে রঙিন রেন্ডারিং, পার্সপেকটিভ, আলো-ছায়া, ল্যান্ডস্কেপিং এবং ত্রিমাত্রিক ভিউ থাকতে পারে; উপস্থাপনার উদ্দেশ্যে অনেক সময় নির্দিষ্ট স্কেল অনুসরণ করা হয় না। উদাহরণ: ইন্টেরিয়র বা এক্সটেরিয়রের 3D ভিউ, ফ্যাসাড রেন্ডার এবং রঙিন মাস্টারপ্ল্যান।</w:t>
      </w:r>
    </w:p>
    <w:p>
      <w:pPr>
        <w:pStyle w:val="Heading2"/>
      </w:pPr>
      <w:r>
        <w:t>২.২ Working Drawing</w:t>
      </w:r>
    </w:p>
    <w:p>
      <w:r>
        <w:t>নির্মাণকাজ বাস্তবায়নের জন্য প্রস্তুত পূর্ণাঙ্গ ও স্কেলভিত্তিক অঙ্কন হলো Working Drawing। এতে প্ল্যান, এলিভেশন, সেকশন, মাপ, উপাদানের চিহ্ন, প্রয়োজনীয় নোট ও নির্মাণ নির্দেশনা থাকে।</w:t>
      </w:r>
    </w:p>
    <w:p>
      <w:r>
        <w:t>ঠিকাদার ও নির্মাণ দল এটি অনুসরণ করে সঠিক মাপ ও স্পেসিফিকেশনে কাজ সম্পন্ন করে। উদাহরণ: মাপসহ ফ্লোর প্ল্যান, বিম-কলামের অবস্থান, রিইনফোর্সমেন্ট শিডিউল, রডের ব্যাস এবং কংক্রিটের নির্ধারিত মিশ্রণের তথ্য।</w:t>
      </w:r>
    </w:p>
    <w:p>
      <w:pPr>
        <w:pStyle w:val="Heading2"/>
      </w:pPr>
      <w:r>
        <w:t>২.৩ Detail Drawing</w:t>
      </w:r>
    </w:p>
    <w:p>
      <w:r>
        <w:t>কাঠামোর নির্দিষ্ট অংশ বা সংযোগকে স্পষ্টভাবে বোঝাতে বৃহৎ স্কেলে আঁকা নকশা হলো Detail Drawing। সাধারণ স্কেলের উদাহরণ ১:১, ১:৫, ১:১০ ও ১:২০। এটি সূক্ষ্ম নির্মাণে বিভ্রান্তি ও কারিগরি ভুল কমাতে সাহায্য করে।</w:t>
      </w:r>
    </w:p>
    <w:p>
      <w:r>
        <w:t>উদাহরণ: সিঁড়ির রাইজার-ট্রেড ও রেলিং সংযোগ, দরজা-জানালার ফ্রেম ও সিল, এক্সপানশন জয়েন্ট, কার্নিশ, কলামের নির্দিষ্ট অংশ এবং কিচেন ক্যাবিনেটের সংযোগ।</w:t>
      </w:r>
    </w:p>
    <w:p>
      <w:pPr>
        <w:pStyle w:val="Heading2"/>
      </w:pPr>
      <w:r>
        <w:t>২.৪ Shop Drawing</w:t>
      </w:r>
    </w:p>
    <w:p>
      <w:r>
        <w:t>মূল ডিজাইন ড্রয়িং অনুসারে ঠিকাদার, প্রস্তুতকারক বা নির্মাণ প্রতিষ্ঠান যে বিশদ ফেব্রিকেশন, অ্যাসেম্বলি ও ইনস্টলেশন নকশা তৈরি করে, তাকে Shop Drawing বলে। এতে উপাদানের আকার, মাপ, গঠন ও স্থাপনপদ্ধতি স্পষ্ট থাকে।</w:t>
      </w:r>
    </w:p>
    <w:p>
      <w:r>
        <w:t>প্রয়োজনীয় অনুমোদনের পরে এটি নির্দিষ্ট অংশ তৈরি ও স্থাপনের ভিত্তি হিসেবে ব্যবহৃত হয়। উদাহরণ: স্টিল ফ্রেম বা ট্রাস, টেমপ্লেট, সেন্টারিং, স্ক্যাফোল্ডিং ও অন্যান্য অস্থায়ী কাঠামো, ডাক্টিং, ক্যাবিনেটরি, প্রি-কাস্ট উপাদান এবং অলংকরণমূলক কাজ।</w:t>
      </w:r>
    </w:p>
    <w:p>
      <w:pPr>
        <w:pStyle w:val="Heading2"/>
      </w:pPr>
      <w:r>
        <w:t>২.৫ As Built Drawing</w:t>
      </w:r>
    </w:p>
    <w:p>
      <w:r>
        <w:t>নির্মাণ শেষে বাস্তবে সম্পন্ন কাজের অবস্থা, অবস্থান ও পরিমাপ অনুযায়ী প্রস্তুত সংশোধিত চূড়ান্ত অঙ্কন হলো As-Built Drawing। মূল ডিজাইনের তুলনায় নির্মাণকালীন পরিবর্তন বা Field Changes এতে প্রতিফলিত হয়।</w:t>
      </w:r>
    </w:p>
    <w:p>
      <w:r>
        <w:t>এটি রক্ষণাবেক্ষণ, সংস্কার, পরিবর্তন, ইউটিলিটি মেরামত, অনুমোদনসংক্রান্ত নথি ও মালিকানা হস্তান্তরের রেফারেন্স হিসেবে কাজে লাগে। উদাহরণ: পরিবর্তিত ফ্লোর প্ল্যান, পাইপলাইনের প্রকৃত অবস্থান এবং বিদ্যুৎ তার বা কনডুইটের পরিবর্তিত রুট।</w:t>
      </w:r>
    </w:p>
    <w:p>
      <w:pPr>
        <w:pStyle w:val="Heading1"/>
      </w:pPr>
      <w:r>
        <w:t>৩ পেশাগত নৈতিকতা ও আচরণবিধি</w:t>
      </w:r>
    </w:p>
    <w:p>
      <w:pPr>
        <w:pStyle w:val="Heading2"/>
      </w:pPr>
      <w:r>
        <w:t>৩.১ উদ্দেশ্য ও ভিত্তি</w:t>
      </w:r>
    </w:p>
    <w:p>
      <w:r>
        <w:t>IAB-এর Code of Ethics &amp; Professional Conduct 2018-সংক্রান্ত প্রদত্ত নোটে বাংলাদেশের স্থপতিদের সততা, স্বচ্ছতা, পেশাগত দক্ষতা, ক্লায়েন্টের প্রতি বিশ্বস্ততা এবং জনস্বার্থ রক্ষার ওপর গুরুত্ব দেওয়া হয়েছে।</w:t>
      </w:r>
    </w:p>
    <w:p>
      <w:r>
        <w:t>নোটে এর ভিত্তি হিসেবে IAB-এর Memorandum of Association ও সংবিধানের Object ৩.০-এর (ক), (খ), (চ), (জ) ও (ঝ), এবং অনুচ্ছেদ ২.৭.১, ২.৭.৩ ও ২.৭.৫ উল্লেখ করা হয়েছে। নিচে আটটি মূলনীতির অধীনে সংশ্লিষ্ট আলোচনা একত্র করা হলো।</w:t>
      </w:r>
    </w:p>
    <w:p>
      <w:pPr>
        <w:pStyle w:val="Heading2"/>
      </w:pPr>
      <w:r>
        <w:t>৩.২ মূলনীতি ১ দায়িত্বের বিশ্বস্ত নির্বাহ</w:t>
      </w:r>
    </w:p>
    <w:p>
      <w:r>
        <w:t>Faithful Discharge of Responsibilities</w:t>
      </w:r>
    </w:p>
    <w:p>
      <w:pPr>
        <w:pStyle w:val="ListBullet"/>
      </w:pPr>
      <w:r>
        <w:t>ক্লায়েন্টের প্রয়োজন, বাজেট ও উদ্দেশ্য বুঝে আন্তরিকভাবে দায়িত্ব পালন এবং ব্যক্তিগত লাভ বা বাইরের প্রভাব থেকে মুক্ত থেকে পরামর্শ দেওয়া।</w:t>
      </w:r>
    </w:p>
    <w:p>
      <w:pPr>
        <w:pStyle w:val="ListBullet"/>
      </w:pPr>
      <w:r>
        <w:t>প্রকল্পের বিবরণ, আর্থিক ও ব্যক্তিগত তথ্য অননুমোদিত ব্যক্তির কাছে প্রকাশ না করা।</w:t>
      </w:r>
    </w:p>
    <w:p>
      <w:pPr>
        <w:pStyle w:val="ListBullet"/>
      </w:pPr>
      <w:r>
        <w:t>ঝুঁকি, সুবিধা ও বিকল্প সম্পর্কে বস্তুনিষ্ঠ পরামর্শ দেওয়া; অগ্রগতি, সমস্যা ও পরিবর্তন সময়মতো জানানো এবং গুরুত্বপূর্ণ সিদ্ধান্তে ক্লায়েন্টকে যুক্ত করা।</w:t>
      </w:r>
    </w:p>
    <w:p>
      <w:pPr>
        <w:pStyle w:val="ListBullet"/>
      </w:pPr>
      <w:r>
        <w:t>প্রযোজ্য নির্মাণ আইন, স্থানীয় বিধিমালা, পরিবেশ ও শ্রম আইন অনুসরণ করা। নোটে আইন মানার বিষয়টি Principle 1.3-এর সঙ্গে যুক্ত করা হয়েছে।</w:t>
      </w:r>
    </w:p>
    <w:p>
      <w:pPr>
        <w:pStyle w:val="ListBullet"/>
      </w:pPr>
      <w:r>
        <w:t>পেশাগত বিচারকে প্রভাবিত করার উদ্দেশ্যে অর্থ বা উপহার গ্রহণ কিংবা প্রদান না করা। সরকারি বা সংবিধিবদ্ধ পদে কর্মরত স্থপতির ক্ষেত্রেও এই নিরপেক্ষতা প্রযোজ্য; নোটে Principle 1.7 ও 1.9 উল্লেখ রয়েছে।</w:t>
      </w:r>
    </w:p>
    <w:p>
      <w:pPr>
        <w:pStyle w:val="Heading3"/>
      </w:pPr>
      <w:r>
        <w:t>জনস্বার্থ ক্ষুণ্ন করে এমন সিদ্ধান্তে করণীয়</w:t>
      </w:r>
    </w:p>
    <w:p>
      <w:r>
        <w:t>ক্লায়েন্ট বা নিয়োগকর্তার কোনো সিদ্ধান্ত প্রযোজ্য আইন লঙ্ঘন করে এবং সম্পন্ন প্রকল্পের জনস্বার্থ বা নিরাপত্তায় উল্লেখযোগ্য ক্ষতিকর প্রভাব ফেলতে পারে বলে জানা গেলে নোটে নিম্নলিখিত পদক্ষেপের কথা বলা হয়েছে:</w:t>
      </w:r>
    </w:p>
    <w:p>
      <w:r>
        <w:t>1. লিখিতভাবে সিদ্ধান্তের বিরুদ্ধে পরামর্শ দেওয়া।</w:t>
      </w:r>
    </w:p>
    <w:p>
      <w:r>
        <w:t>2. সিদ্ধান্তে সম্মতি দিতে অস্বীকার করা।</w:t>
      </w:r>
    </w:p>
    <w:p>
      <w:r>
        <w:t>3. অন্যভাবে সন্তোষজনক সমাধান না হলে স্থানীয় বিল্ডিং পরিদর্শক বা আইন ও বিধি প্রয়োগের দায়িত্বপ্রাপ্ত সরকারি কর্মকর্তাকে রিপোর্ট করা।</w:t>
      </w:r>
    </w:p>
    <w:p>
      <w:r>
        <w:t>এই নীতির তাৎপর্য হলো ক্লায়েন্টের আস্থা, পেশাগত সততা ও নিরপেক্ষতা বজায় রেখে জনসুরক্ষা নিশ্চিত করা।</w:t>
      </w:r>
    </w:p>
    <w:p>
      <w:pPr>
        <w:pStyle w:val="Heading2"/>
      </w:pPr>
      <w:r>
        <w:t>৩.৩ মূলনীতি ২ পেশার প্রতি বাধ্যবাধকতা</w:t>
      </w:r>
    </w:p>
    <w:p>
      <w:r>
        <w:t>Obligation to the Profession</w:t>
      </w:r>
    </w:p>
    <w:p>
      <w:pPr>
        <w:pStyle w:val="ListBullet"/>
      </w:pPr>
      <w:r>
        <w:t>নিজের যোগ্যতা, অভিজ্ঞতা ও দক্ষতা সম্পর্কে সত্য তথ্য দেওয়া এবং ক্লায়েন্টকে বিভ্রান্ত না করা।</w:t>
      </w:r>
    </w:p>
    <w:p>
      <w:pPr>
        <w:pStyle w:val="ListBullet"/>
      </w:pPr>
      <w:r>
        <w:t>IAB-এর স্ট্যান্ডার্ড চুক্তি ও প্রস্তাবিত ফি স্কেল ক্লায়েন্টকে উপস্থাপন করা। কাজের পরিধি, সময়সীমা, ফি ও ব্যয় লিখিত চুক্তিতে স্পষ্ট করে সহজ ভাষায় ব্যাখ্যা করা; লুকানো খরচ না রাখা। নোটে লিখিত চুক্তির প্রসঙ্গে Principle 2.5 উল্লেখ রয়েছে।</w:t>
      </w:r>
    </w:p>
    <w:p>
      <w:pPr>
        <w:pStyle w:val="ListBullet"/>
      </w:pPr>
      <w:r>
        <w:t>নিজে বা নিজের অফিস প্রস্তুত করেনি এমন ড্রয়িং, নথি বা স্পেসিফিকেশনে স্বাক্ষর বা সিল না দেওয়া; নোটে এটি Principle 2.7-এর সঙ্গে যুক্ত।</w:t>
      </w:r>
    </w:p>
    <w:p>
      <w:pPr>
        <w:pStyle w:val="ListBullet"/>
      </w:pPr>
      <w:r>
        <w:t>অন্য সদস্যের আচরণবিধি লঙ্ঘনের তথ্য IAB-কে জানানোর মাধ্যমে পেশার মান ও জবাবদিহিতা রক্ষায় সহায়তা করা।</w:t>
      </w:r>
    </w:p>
    <w:p>
      <w:r>
        <w:t>পেশাগত আচরণ যে IAB-এর নৈতিক নীতিমালা দ্বারা পরিচালিত হয়, তা ক্লায়েন্টকে জানানো যেতে পারে। প্রদত্ত নোটে এটি ঐচ্ছিক যোগাযোগের পরামর্শ হিসেবে রয়েছে, সরাসরি কোডের নির্দেশ হিসেবে নয়।</w:t>
      </w:r>
    </w:p>
    <w:p>
      <w:pPr>
        <w:pStyle w:val="Heading2"/>
      </w:pPr>
      <w:r>
        <w:t>৩.৪ মূলনীতি ৩ পারিশ্রমিক</w:t>
      </w:r>
    </w:p>
    <w:p>
      <w:r>
        <w:t>Remuneration</w:t>
      </w:r>
    </w:p>
    <w:p>
      <w:pPr>
        <w:pStyle w:val="ListBullet"/>
      </w:pPr>
      <w:r>
        <w:t>IAB-এর প্রস্তাবিত ন্যূনতম ফি ও খরচের স্কেল অনুসরণ করা এবং পারিশ্রমিকের হিসাব স্বচ্ছ রাখা।</w:t>
      </w:r>
    </w:p>
    <w:p>
      <w:pPr>
        <w:pStyle w:val="ListBullet"/>
      </w:pPr>
      <w:r>
        <w:t>ব্যক্তিগত অনুশীলনে পেশাগত ফি অথবা প্রতিষ্ঠানে কর্মরত অবস্থায় বেতন ও অন্যান্য সুবিধা হিসেবে পারিশ্রমিক গ্রহণ করা।</w:t>
      </w:r>
    </w:p>
    <w:p>
      <w:pPr>
        <w:pStyle w:val="ListBullet"/>
      </w:pPr>
      <w:r>
        <w:t>ঠিকাদার, সরবরাহকারী বা ব্যবসায়ীর কাছ থেকে ডিসকাউন্ট, উপহার বা কমিশন গ্রহণ না করা।</w:t>
      </w:r>
    </w:p>
    <w:p>
      <w:pPr>
        <w:pStyle w:val="ListBullet"/>
      </w:pPr>
      <w:r>
        <w:t>অন্য স্থপতির সঙ্গে প্রতিযোগিতার জন্য ফি কমানোর অনৈতিক চর্চা থেকে বিরত থাকা।</w:t>
      </w:r>
    </w:p>
    <w:p>
      <w:r>
        <w:t>ন্যায্য পারিশ্রমিক প্রকল্পে পর্যাপ্ত সময় ও মনোযোগ, প্রশিক্ষণ, প্রযুক্তি শেখা ও সৃজনশীলতার সুযোগ দেয়। এতে সেবার মান, দক্ষ কর্মী ধরে রাখা এবং প্রতিষ্ঠানের দীর্ঘমেয়াদি স্থিতিশীলতা বজায় রাখতে সহায়তা হয়; স্বচ্ছ ফি আর্থিক বিরোধ কমায়।</w:t>
      </w:r>
    </w:p>
    <w:p>
      <w:pPr>
        <w:pStyle w:val="Heading2"/>
      </w:pPr>
      <w:r>
        <w:t>৩.৫ মূলনীতি ৪ অন্যান্য ব্যবসার সঙ্গে সম্পৃক্ততা</w:t>
      </w:r>
    </w:p>
    <w:p>
      <w:r>
        <w:t>Involvement with Other Trades</w:t>
      </w:r>
    </w:p>
    <w:p>
      <w:pPr>
        <w:pStyle w:val="ListBullet"/>
      </w:pPr>
      <w:r>
        <w:t>পেশাগত দায়িত্বের সঙ্গে সাংঘর্ষিক বা সততা সম্পর্কে সন্দেহ তৈরি করে এমন ব্যবসা এড়ানো।</w:t>
      </w:r>
    </w:p>
    <w:p>
      <w:pPr>
        <w:pStyle w:val="ListBullet"/>
      </w:pPr>
      <w:r>
        <w:t>রিয়েল এস্টেট, জমি, নির্মাণসামগ্রী বা ঠিকাদারি ব্যবসায় যুক্ত থাকলে ব্যবসায়িক স্বার্থ প্রকাশ এবং স্বার্থের সংঘাত এড়ানো; প্রয়োজনে সংশ্লিষ্ট প্রকল্প থেকে সরে আসা।</w:t>
      </w:r>
    </w:p>
    <w:p>
      <w:pPr>
        <w:pStyle w:val="ListBullet"/>
      </w:pPr>
      <w:r>
        <w:t>একই ব্যক্তি ডেভেলপার ও স্থপতি হিসেবে Design-and-Build প্রকল্পে যুক্ত হলে নকশার জন্য অন্য স্থপতি নিয়োগের সুপারিশ প্রদত্ত নোটে রয়েছে।</w:t>
      </w:r>
    </w:p>
    <w:p>
      <w:pPr>
        <w:pStyle w:val="ListBullet"/>
      </w:pPr>
      <w:r>
        <w:t>ব্যবসায়িক লাভের ওপর পেশাগত দায়িত্বকে অগ্রাধিকার দেওয়া।</w:t>
      </w:r>
    </w:p>
    <w:p>
      <w:pPr>
        <w:pStyle w:val="Heading2"/>
      </w:pPr>
      <w:r>
        <w:t>৩.৬ মূলনীতি ৫ অন্যান্য ব্যক্তির সঙ্গে সম্পৃক্ততা</w:t>
      </w:r>
    </w:p>
    <w:p>
      <w:r>
        <w:t>Involvement with Other Persons</w:t>
      </w:r>
    </w:p>
    <w:p>
      <w:r>
        <w:t>পেশাগত সম্পর্ক ও সহযোগিতায় স্বার্থের সংঘাত এড়ানো, অংশীদার বা কর্মচারীর আচরণবিধি লঙ্ঘনের ক্ষেত্রে দায়িত্বশীল থাকা এবং অযোগ্য ব্যক্তির সঙ্গে পেশাগত সহযোগিতা থেকে বিরত থাকার কথা প্রদত্ত নোটে বলা হয়েছে।</w:t>
      </w:r>
    </w:p>
    <w:p>
      <w:pPr>
        <w:pStyle w:val="Heading2"/>
      </w:pPr>
      <w:r>
        <w:t>৩.৭ মূলনীতি ৬ বিজ্ঞাপন ও কাজ চাওয়া</w:t>
      </w:r>
    </w:p>
    <w:p>
      <w:r>
        <w:t>Advertising and Soliciting</w:t>
      </w:r>
    </w:p>
    <w:p>
      <w:pPr>
        <w:pStyle w:val="ListBullet"/>
      </w:pPr>
      <w:r>
        <w:t>আত্মপ্রশংসামূলক, অতিরঞ্জিত বা বিভ্রান্তিকর প্রচার এবং যোগ্যতা, অভিজ্ঞতা বা ফলাফল সম্পর্কে অসত্য দাবি না করা।</w:t>
      </w:r>
    </w:p>
    <w:p>
      <w:pPr>
        <w:pStyle w:val="ListBullet"/>
      </w:pPr>
      <w:r>
        <w:t>পণ্য বা সেবার অর্থের বিনিময়ে অনুমোদন বা Paid Endorsement দেওয়া কিংবা গ্রহণ থেকে বিরত থাকা।</w:t>
      </w:r>
    </w:p>
    <w:p>
      <w:pPr>
        <w:pStyle w:val="ListBullet"/>
      </w:pPr>
      <w:r>
        <w:t>স্থাপত্য সম্পর্কে জনসাধারণের জ্ঞান বাড়াতে বই, নিবন্ধ বা ব্লগের মতো তথ্যপূর্ণ লেখা প্রকাশ করা।</w:t>
      </w:r>
    </w:p>
    <w:p>
      <w:pPr>
        <w:pStyle w:val="ListBullet"/>
      </w:pPr>
      <w:r>
        <w:t>ওয়েবসাইট, সামাজিক যোগাযোগমাধ্যম বা বাণিজ্যিক ডিরেক্টরিতে পেশাগত পরিচয় তুলে ধরার সময় বস্তুনিষ্ঠ ও সত্যনিষ্ঠ তথ্য ব্যবহার করা; প্রচারকে বিভ্রান্তিকর বিজ্ঞাপন বা অনৈতিক অনুরোধে পরিণত না করা।</w:t>
      </w:r>
    </w:p>
    <w:p>
      <w:pPr>
        <w:pStyle w:val="ListBullet"/>
      </w:pPr>
      <w:r>
        <w:t>সাইনবোর্ড ও ব্যবসায়িক কার্ডে প্রাসঙ্গিক নির্দেশিকা মেনে নাম, পদবি, প্রতিষ্ঠানের নাম, ঠিকানা ও যোগাযোগের তথ্য রাখা এবং অতিরঞ্জিত ভাষা বা নকশা এড়ানো।</w:t>
      </w:r>
    </w:p>
    <w:p>
      <w:pPr>
        <w:pStyle w:val="ListBullet"/>
      </w:pPr>
      <w:r>
        <w:t>নিজের প্রচারে অন্য স্থপতির কাজকে হেয় করা বা ভিত্তিহীনভাবে নিজেকে শ্রেষ্ঠ দাবি না করা।</w:t>
      </w:r>
    </w:p>
    <w:p>
      <w:r>
        <w:t>সত্যনিষ্ঠ প্রচার ক্লায়েন্টকে সচেতন সিদ্ধান্ত নিতে সাহায্য করে, পেশাগত বিশ্বাসযোগ্যতা ও ন্যায্য প্রতিযোগিতা বজায় রাখে এবং বিভ্রান্তি থেকে জনসাধারণকে রক্ষা করে। প্রযোজ্য বিজ্ঞাপনসংক্রান্ত আইন মেনে চলার বিষয়টিও নোটে উল্লেখ রয়েছে।</w:t>
      </w:r>
    </w:p>
    <w:p>
      <w:pPr>
        <w:pStyle w:val="Heading2"/>
      </w:pPr>
      <w:r>
        <w:t>৩.৮ মূলনীতি ৭ সহকর্মীদের প্রতি বাধ্যবাধকতা</w:t>
      </w:r>
    </w:p>
    <w:p>
      <w:r>
        <w:t>Obligation to Colleagues</w:t>
      </w:r>
    </w:p>
    <w:p>
      <w:pPr>
        <w:pStyle w:val="ListBullet"/>
      </w:pPr>
      <w:r>
        <w:t>সহকর্মীর অধিকার, পেশাগত আকাঙ্ক্ষা, মেধাস্বত্ব ও অবদানকে সম্মান করা; যৌথ কাজ বা পুরস্কারে সংশ্লিষ্ট সদস্যদের যথাযথ স্বীকৃতি দেওয়া।</w:t>
      </w:r>
    </w:p>
    <w:p>
      <w:pPr>
        <w:pStyle w:val="ListBullet"/>
      </w:pPr>
      <w:r>
        <w:t>নিয়োগের শর্ত, কাজের দায়িত্ব, বেতন, ছুটি ও সুবিধা স্পষ্ট করা। প্রদত্ত নোটে IAB-এর Sample Employment Handbook for Architectural Practices-এর উল্লেখ রয়েছে।</w:t>
      </w:r>
    </w:p>
    <w:p>
      <w:pPr>
        <w:pStyle w:val="ListBullet"/>
      </w:pPr>
      <w:r>
        <w:t>লিঙ্গ, জাতি, ধর্ম, শারীরিক সক্ষমতা বা যৌন অভিমুখিতার ভিত্তিতে বৈষম্য না করা এবং সকলের জন্য সহায়ক ও সম্মানজনক কর্মপরিবেশ বজায় রাখা।</w:t>
      </w:r>
    </w:p>
    <w:p>
      <w:pPr>
        <w:pStyle w:val="ListBullet"/>
      </w:pPr>
      <w:r>
        <w:t>সহযোগী ও কর্মচারীদের ন্যায্য পারিশ্রমিক দেওয়া এবং নোটে উল্লিখিত IAB-এর ন্যূনতম মজুরি নির্দেশিকা অনুসরণ করা; অভিজ্ঞতা ও দক্ষতার মূল্যায়ন করা।</w:t>
      </w:r>
    </w:p>
    <w:p>
      <w:pPr>
        <w:pStyle w:val="ListBullet"/>
      </w:pPr>
      <w:r>
        <w:t>দলের নেতা হিসেবে পরামর্শ দেওয়া, জ্ঞান ও অভিজ্ঞতা ভাগ করা এবং নবীন স্থপতিদের দক্ষতা, প্রযুক্তিজ্ঞান ও পেশাগত উন্নয়নে সহায়তা করা।</w:t>
      </w:r>
    </w:p>
    <w:p>
      <w:pPr>
        <w:pStyle w:val="ListBullet"/>
      </w:pPr>
      <w:r>
        <w:t>নিজের সেবা ও কর্মদক্ষতার ভিত্তিতে সুনাম অর্জন করা; অন্যের কাজের কৃতিত্ব নিজের নামে না নেওয়া।</w:t>
      </w:r>
    </w:p>
    <w:p>
      <w:pPr>
        <w:pStyle w:val="ListBullet"/>
      </w:pPr>
      <w:r>
        <w:t>প্রতিষ্ঠান ছাড়ার সময় অনুমতি ছাড়া ডিজাইন, ড্রয়িং, ডেটা, রিপোর্ট, নোট বা অন্যান্য কাজের উপকরণ নিয়ে না যাওয়া, এমনকি নিজে কাজটি করে থাকলেও।</w:t>
      </w:r>
    </w:p>
    <w:p>
      <w:pPr>
        <w:pStyle w:val="ListBullet"/>
      </w:pPr>
      <w:r>
        <w:t>বিদায়ী কর্মচারী বা অংশীদারের নিজের সম্পাদিত কাজের অগোপনীয় কপি নেওয়ার অনুমতি অযৌক্তিকভাবে প্রত্যাখ্যান না করা।</w:t>
      </w:r>
    </w:p>
    <w:p>
      <w:r>
        <w:t>উদাহরণ: পোর্টফোলিও তৈরির জন্য নিজের করা অগোপনীয় ড্রয়িংয়ের কপি নেওয়ার আগে অনুমতি নিতে হবে। একই সঙ্গে প্রতিষ্ঠানকে সেই অনুরোধ যুক্তিসংগতভাবে বিবেচনা করতে হবে। এতে গোপনীয়তা ও মেধাস্বত্বের সুরক্ষার সঙ্গে কর্মীর কাজের স্বীকৃতির ভারসাম্য থাকে।</w:t>
      </w:r>
    </w:p>
    <w:p>
      <w:pPr>
        <w:pStyle w:val="Heading2"/>
      </w:pPr>
      <w:r>
        <w:t>৩.৯ মূলনীতি ৮ সমাজ ও পরিবেশের প্রতি বাধ্যবাধকতা</w:t>
      </w:r>
    </w:p>
    <w:p>
      <w:r>
        <w:t>Obligation to Society and Environment</w:t>
      </w:r>
    </w:p>
    <w:p>
      <w:r>
        <w:t>প্রদত্ত নোটে এই নীতিকে কোডের দ্বিতীয় সংস্করণের নতুন সংযোজন হিসেবে বর্ণনা করা হয়েছে। এটি স্থপতির দায়িত্বকে ক্লায়েন্ট ও পেশার বাইরেও বৃহত্তর সমাজ ও পরিবেশ পর্যন্ত প্রসারিত করে।</w:t>
      </w:r>
    </w:p>
    <w:p>
      <w:pPr>
        <w:pStyle w:val="ListBullet"/>
      </w:pPr>
      <w:r>
        <w:t>সমাজ, সংস্কৃতি ও পরিবেশগত মান উন্নয়নে অবদান রাখা; মানুষের জীবনযাত্রা, কর্মক্ষেত্র ও সামাজিক যোগাযোগের ওপর নকশার প্রভাব বিবেচনা করা।</w:t>
      </w:r>
    </w:p>
    <w:p>
      <w:pPr>
        <w:pStyle w:val="ListBullet"/>
      </w:pPr>
      <w:r>
        <w:t>জনস্বাস্থ্য ও নিরাপত্তা রক্ষায় ভূমিকম্প, অগ্নিকাণ্ড ও অন্যান্য দুর্যোগের প্রাসঙ্গিক মানদণ্ড বিবেচনা করা; জনব্যবহারের ভবনে প্রতিবন্ধী ব্যক্তিসহ সবার প্রবেশগম্যতা গুরুত্ব দেওয়া।</w:t>
      </w:r>
    </w:p>
    <w:p>
      <w:pPr>
        <w:pStyle w:val="ListBullet"/>
      </w:pPr>
      <w:r>
        <w:t>পরিবেশগত প্রভাব কমানো, দূষণ রোধ, প্রাকৃতিক সম্পদ সংরক্ষণ এবং টেকসই নির্মাণপদ্ধতি উৎসাহিত করা।</w:t>
      </w:r>
    </w:p>
    <w:p>
      <w:pPr>
        <w:pStyle w:val="ListBullet"/>
      </w:pPr>
      <w:r>
        <w:t>আর্থসামাজিক, সাংস্কৃতিক ও স্থাপত্য ঐতিহ্য রক্ষা, সংরক্ষণ ও উন্নয়নের চেষ্টা করা।</w:t>
      </w:r>
    </w:p>
    <w:p>
      <w:pPr>
        <w:pStyle w:val="ListBullet"/>
      </w:pPr>
      <w:r>
        <w:t>স্থানীয় উপকরণ, কারুশিল্প ও নির্মাণ ঐতিহ্যকে উৎসাহ দিয়ে স্থানীয় অর্থনীতি ও সংস্কৃতিকে শক্তিশালী করা।</w:t>
      </w:r>
    </w:p>
    <w:p>
      <w:pPr>
        <w:pStyle w:val="ListBullet"/>
      </w:pPr>
      <w:r>
        <w:t>পরিবেশ বা ঐতিহ্যের ক্ষতির তথ্য জানা গেলে IAB-কে জানানো।</w:t>
      </w:r>
    </w:p>
    <w:p>
      <w:r>
        <w:t>এই নীতির গুরুত্ব হলো ভবিষ্যৎ প্রজন্মের জন্য সম্পদ ও ঐতিহ্য রক্ষা, জনজীবনের মান উন্নয়ন এবং নকশার সামাজিক ও পরিবেশগত ফলাফলের প্রতি জবাবদিহিতা তৈরি করা।</w:t>
      </w:r>
    </w:p>
    <w:p>
      <w:pPr>
        <w:pStyle w:val="Heading1"/>
      </w:pPr>
      <w:r>
        <w:t>৪ অভিযোগ ও শৃঙ্খলামূলক প্রক্রিয়া</w:t>
      </w:r>
    </w:p>
    <w:p>
      <w:r>
        <w:t>প্রদত্ত নোট অনুযায়ী আচরণবিধি লঙ্ঘন, পেশাগত অসদাচরণ বা অপব্যবহারের অভিযোগ IAB-এর সংবিধান ও উপবিধির সঙ্গে সামঞ্জস্য রেখে তদন্ত ও পর্যালোচনা করা হয়। একই প্রক্রিয়ার সংক্ষিপ্ত ও বিস্তারিত বিবরণ এখানে একত্র করা হয়েছে।</w:t>
      </w:r>
    </w:p>
    <w:p>
      <w:pPr>
        <w:pStyle w:val="Heading2"/>
      </w:pPr>
      <w:r>
        <w:t>৪.১ সম্ভাব্য ব্যবস্থা</w:t>
      </w:r>
    </w:p>
    <w:p>
      <w:pPr>
        <w:pStyle w:val="ListBullet"/>
      </w:pPr>
      <w:r>
        <w:t>নির্দিষ্ট সুযোগ-সুবিধা থেকে বঞ্চিত করা: যেমন সংগঠনের নির্দিষ্ট কার্যক্রম বা সুবিধায় অংশগ্রহণ সীমিত করা।</w:t>
      </w:r>
    </w:p>
    <w:p>
      <w:pPr>
        <w:pStyle w:val="ListBullet"/>
      </w:pPr>
      <w:r>
        <w:t>আনুষ্ঠানিক তিরস্কার: অসদাচরণের জন্য সতর্ক করা এবং পুনরাবৃত্তি থেকে বিরত থাকার নির্দেশ দেওয়া।</w:t>
      </w:r>
    </w:p>
    <w:p>
      <w:pPr>
        <w:pStyle w:val="ListBullet"/>
      </w:pPr>
      <w:r>
        <w:t>সদস্যপদ স্থগিত করা: নির্দিষ্ট সময়ের জন্য সদস্য হিসেবে কার্যক্রম বা সুবিধা গ্রহণের অধিকার স্থগিত রাখা।</w:t>
      </w:r>
    </w:p>
    <w:p>
      <w:pPr>
        <w:pStyle w:val="ListBullet"/>
      </w:pPr>
      <w:r>
        <w:t>বহিষ্কার বা সদস্যপদ বাতিল: গুরুতর ক্ষেত্রে IAB-এর সদস্যপদ ও সংশ্লিষ্ট স্বীকৃতি হারানো।</w:t>
      </w:r>
    </w:p>
    <w:p>
      <w:pPr>
        <w:pStyle w:val="Heading2"/>
      </w:pPr>
      <w:r>
        <w:t>৪.২ অভিযোগ থেকে সিদ্ধান্ত পর্যন্ত ধাপ</w:t>
      </w:r>
    </w:p>
    <w:p>
      <w:r>
        <w:t>1. লিখিত অভিযোগ: IAB সভাপতির কাছে অভিযুক্তের নাম, ঘটনার বিবরণ, তারিখ, স্থান ও প্রাসঙ্গিক প্রমাণসহ অভিযোগ জমা দেওয়া।</w:t>
      </w:r>
    </w:p>
    <w:p>
      <w:r>
        <w:t>2. কমিটি গঠন: নির্বাহী পরিষদ শৃঙ্খলা কমিটি গঠন করে। প্রদত্ত নোটে সাধারণভাবে চেয়ারম্যান, সদস্যসচিব ও অন্তত একজন সদস্যের কথা বলা হয়েছে।</w:t>
      </w:r>
    </w:p>
    <w:p>
      <w:r>
        <w:t>3. প্রাথমিক পর্যালোচনা: অভিযোগে প্রয়োজনীয় তথ্য আছে কি না যাচাই করা; অসম্পূর্ণ হলে সংশোধন চাওয়া।</w:t>
      </w:r>
    </w:p>
    <w:p>
      <w:r>
        <w:t>4. ব্যাখ্যা চাওয়া: অভিযুক্ত সদস্যকে লিখিতভাবে অভিযোগ জানিয়ে নির্ধারিত সময়ের মধ্যে তার বক্তব্য বা ব্যাখ্যা দিতে বলা।</w:t>
      </w:r>
    </w:p>
    <w:p>
      <w:r>
        <w:t>5. তদন্ত: অভিযোগকারী, অভিযুক্ত, সাক্ষী ও সংশ্লিষ্ট ব্যক্তিদের বক্তব্য এবং প্রমাণ সংগ্রহ ও যাচাই করা।</w:t>
      </w:r>
    </w:p>
    <w:p>
      <w:r>
        <w:t>6. শুনানি: উভয় পক্ষকে বক্তব্য, সাক্ষী ও ব্যাখ্যা উপস্থাপনের সুযোগ দেওয়া।</w:t>
      </w:r>
    </w:p>
    <w:p>
      <w:r>
        <w:t>7. কমিটির সিদ্ধান্ত ও সুপারিশ: প্রমাণ, বক্তব্য ও তদন্তের ফল নিয়ে আলোচনা ও ভোটের মাধ্যমে সিদ্ধান্ত নেওয়া; লঙ্ঘন প্রমাণিত হলে ব্যবস্থা সুপারিশ করা।</w:t>
      </w:r>
    </w:p>
    <w:p>
      <w:r>
        <w:t>8. নির্বাহী পরিষদের পর্যালোচনা: সংবিধান ও উপবিধি অনুযায়ী সুপারিশ যাচাই ও চূড়ান্ত সিদ্ধান্ত নেওয়া; গুরুতর ব্যবস্থার ক্ষেত্রেও পরিষদের অনুমোদনের কথা নোটে উল্লেখ রয়েছে।</w:t>
      </w:r>
    </w:p>
    <w:p>
      <w:r>
        <w:t>9. লিখিত বিজ্ঞপ্তি: অসদাচরণ, গৃহীত ব্যবস্থা ও কার্যকারিতার তারিখ সদস্যকে জানানো। প্রদত্ত নোটে সিদ্ধান্ত সাধারণত ১৪ দিনের মধ্যে জানানোর কথা বলা হয়েছে।</w:t>
      </w:r>
    </w:p>
    <w:p>
      <w:r>
        <w:t>10. আপিল: প্রযোজ্য নিয়মে সুযোগ থাকলে উপবিধির প্রক্রিয়া ও শর্ত অনুযায়ী আপিল করা।</w:t>
      </w:r>
    </w:p>
    <w:p>
      <w:r>
        <w:t>এই প্রক্রিয়ার উদ্দেশ্য হলো অভিযোগ যাচাইয়ে ন্যায্যতা, অভিযুক্তের বক্তব্য দেওয়ার সুযোগ এবং সিদ্ধান্ত গ্রহণে স্বচ্ছতা বজায় রাখা।</w:t>
      </w:r>
    </w:p>
    <w:p>
      <w:pPr>
        <w:pStyle w:val="Heading1"/>
      </w:pPr>
      <w:r>
        <w:t>সংকলনের উৎস</w:t>
      </w:r>
    </w:p>
    <w:p>
      <w:r>
        <w:t>এই অধ্যায়ের বিষয়বস্তু নিম্নোক্ত সরবরাহকৃত নথি থেকে একত্র করা হয়েছে। পুনরাবৃত্ত ভূমিকা, উপসংহার, একই উত্তরের একাধিক সংস্করণ এবং বর্ণনার পুনরাবৃত্ত তুলনামূলক সারণি বাদ দিয়ে তথ্য সংশ্লিষ্ট বিষয়ের অধীনে রাখা হয়েছে।</w:t>
      </w:r>
    </w:p>
    <w:p>
      <w:r>
        <w:t>1_Professional-Practices.docx</w:t>
      </w:r>
    </w:p>
    <w:p>
      <w:r>
        <w:t>Chapter 19 - Professional Practices_ Roles, Responsibilities &amp; Drawing Types.docx</w:t>
      </w:r>
    </w:p>
    <w:p>
      <w:r>
        <w:t>Code of Ethics &amp; Professional Conduct 2018.docx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Professional Practices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CHAPTER 19   |   PROFESSIONAL PRACTICES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Nirmala UI" w:hAnsi="Nirmala UI" w:cs="Nirmala UI" w:eastAsia="Nirmala UI"/>
      <w:color w:val="000000"/>
      <w:sz w:val="22"/>
      <w:lang w:val="bn-BD" w:bidi="bn-B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69" w:lineRule="auto"/>
    </w:pPr>
    <w:rPr>
      <w:rFonts w:ascii="Nirmala UI" w:hAnsi="Nirmala UI" w:cs="Nirmala UI" w:eastAsia="Nirmala UI"/>
      <w:color w:val="000000"/>
      <w:sz w:val="22"/>
      <w:lang w:val="bn-BD" w:bidi="bn-BD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69" w:lineRule="auto"/>
    </w:pPr>
    <w:rPr>
      <w:rFonts w:ascii="Nirmala UI" w:hAnsi="Nirmala UI" w:cs="Nirmala UI" w:eastAsia="Nirmala UI"/>
      <w:color w:val="000000"/>
      <w:sz w:val="22"/>
      <w:lang w:val="bn-BD" w:bidi="bn-B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69" w:lineRule="auto"/>
      <w:outlineLvl w:val="0"/>
    </w:pPr>
    <w:rPr>
      <w:rFonts w:asciiTheme="majorHAnsi" w:eastAsiaTheme="majorEastAsia" w:hAnsiTheme="majorHAnsi" w:cstheme="majorBidi" w:ascii="Nirmala UI" w:hAnsi="Nirmala UI" w:cs="Nirmala UI" w:eastAsia="Nirmala UI"/>
      <w:b/>
      <w:bCs/>
      <w:color w:val="000000"/>
      <w:sz w:val="34"/>
      <w:szCs w:val="28"/>
      <w:lang w:val="bn-BD" w:bidi="bn-B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69" w:lineRule="auto"/>
      <w:outlineLvl w:val="1"/>
    </w:pPr>
    <w:rPr>
      <w:rFonts w:asciiTheme="majorHAnsi" w:eastAsiaTheme="majorEastAsia" w:hAnsiTheme="majorHAnsi" w:cstheme="majorBidi" w:ascii="Nirmala UI" w:hAnsi="Nirmala UI" w:cs="Nirmala UI" w:eastAsia="Nirmala UI"/>
      <w:b/>
      <w:bCs/>
      <w:color w:val="000000"/>
      <w:sz w:val="26"/>
      <w:szCs w:val="26"/>
      <w:lang w:val="bn-BD" w:bidi="bn-B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 w:line="269" w:lineRule="auto"/>
      <w:outlineLvl w:val="2"/>
    </w:pPr>
    <w:rPr>
      <w:rFonts w:asciiTheme="majorHAnsi" w:eastAsiaTheme="majorEastAsia" w:hAnsiTheme="majorHAnsi" w:cstheme="majorBidi" w:ascii="Nirmala UI" w:hAnsi="Nirmala UI" w:cs="Nirmala UI" w:eastAsia="Nirmala UI"/>
      <w:b/>
      <w:bCs/>
      <w:color w:val="000000"/>
      <w:sz w:val="23"/>
      <w:lang w:val="bn-BD" w:bidi="bn-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40" w:line="269" w:lineRule="auto" w:before="0"/>
      <w:contextualSpacing/>
    </w:pPr>
    <w:rPr>
      <w:rFonts w:asciiTheme="majorHAnsi" w:eastAsiaTheme="majorEastAsia" w:hAnsiTheme="majorHAnsi" w:cstheme="majorBidi" w:ascii="Nirmala UI" w:hAnsi="Nirmala UI" w:cs="Nirmala UI" w:eastAsia="Nirmala UI"/>
      <w:b/>
      <w:color w:val="000000"/>
      <w:spacing w:val="5"/>
      <w:kern w:val="28"/>
      <w:sz w:val="50"/>
      <w:szCs w:val="52"/>
      <w:lang w:val="bn-BD" w:bidi="bn-B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Nirmala UI" w:hAnsi="Nirmala UI" w:cs="Nirmala UI" w:eastAsia="Nirmala UI"/>
      <w:i/>
      <w:iCs/>
      <w:color w:val="000000"/>
      <w:spacing w:val="15"/>
      <w:sz w:val="22"/>
      <w:szCs w:val="24"/>
      <w:lang w:val="bn-BD" w:bidi="bn-B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69" w:lineRule="auto"/>
      <w:contextualSpacing/>
    </w:pPr>
    <w:rPr>
      <w:rFonts w:ascii="Nirmala UI" w:hAnsi="Nirmala UI" w:cs="Nirmala UI" w:eastAsia="Nirmala UI"/>
      <w:color w:val="000000"/>
      <w:sz w:val="22"/>
      <w:lang w:val="bn-BD" w:bidi="bn-B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69" w:lineRule="auto"/>
      <w:contextualSpacing/>
    </w:pPr>
    <w:rPr>
      <w:rFonts w:ascii="Nirmala UI" w:hAnsi="Nirmala UI" w:cs="Nirmala UI" w:eastAsia="Nirmala UI"/>
      <w:color w:val="000000"/>
      <w:sz w:val="22"/>
      <w:lang w:val="bn-BD" w:bidi="bn-B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Practices</dc:title>
  <dc:subject>Consolidated chapter on professional roles, drawing types and ethics</dc:subject>
  <dc:creator/>
  <cp:keywords>Professional Practices, AIDT, IAB, Bangla, Chapter 19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