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i w:val="0"/>
          <w:color w:val="003366"/>
          <w:sz w:val="32"/>
        </w:rPr>
        <w:t>A Physics-Guardrailed Dual-Track Surrogate Framework for Atomic Layer Deposition Showerhead Geometry Optimisation: Parametric Morphogenesis and Voxel-Implicit Constructive Solid Geometry Topology-Aware Search</w:t>
      </w:r>
    </w:p>
    <w:p>
      <w:pPr>
        <w:jc w:val="center"/>
      </w:pPr>
      <w:r>
        <w:rPr>
          <w:rFonts w:ascii="Times New Roman" w:hAnsi="Times New Roman"/>
          <w:b/>
          <w:i w:val="0"/>
          <w:sz w:val="24"/>
        </w:rPr>
        <w:t>Amit Rana</w:t>
      </w:r>
    </w:p>
    <w:p>
      <w:pPr>
        <w:jc w:val="center"/>
      </w:pPr>
      <w:r>
        <w:rPr>
          <w:rFonts w:ascii="Times New Roman" w:hAnsi="Times New Roman"/>
          <w:b w:val="0"/>
          <w:i/>
          <w:sz w:val="20"/>
        </w:rPr>
        <w:t>Independent Researcher</w:t>
        <w:br/>
        <w:t>amit21aim@gmail.com</w:t>
        <w:br/>
        <w:t>ORCID: https://orcid.org/0009-0008-5998-6560</w:t>
        <w:br/>
        <w:t>Jun 2026</w:t>
      </w:r>
    </w:p>
    <w:p/>
    <w:p>
      <w:pPr>
        <w:spacing w:before="240" w:after="80"/>
      </w:pPr>
      <w:r>
        <w:rPr>
          <w:rFonts w:ascii="Times New Roman" w:hAnsi="Times New Roman"/>
          <w:b/>
          <w:i w:val="0"/>
          <w:color w:val="003366"/>
          <w:sz w:val="28"/>
        </w:rPr>
        <w:t>Abstract</w:t>
      </w:r>
    </w:p>
    <w:p>
      <w:pPr>
        <w:spacing w:after="120"/>
        <w:jc w:val="both"/>
      </w:pPr>
      <w:r>
        <w:rPr>
          <w:rFonts w:ascii="Times New Roman" w:hAnsi="Times New Roman"/>
          <w:b w:val="0"/>
          <w:i w:val="0"/>
          <w:sz w:val="22"/>
        </w:rPr>
        <w:t>Atomic Layer Deposition (</w:t>
      </w:r>
      <w:r>
        <w:rPr>
          <w:rFonts w:ascii="Times New Roman" w:hAnsi="Times New Roman"/>
          <w:b/>
          <w:i w:val="0"/>
          <w:sz w:val="22"/>
        </w:rPr>
        <w:t>ALD</w:t>
      </w:r>
      <w:r>
        <w:rPr>
          <w:rFonts w:ascii="Times New Roman" w:hAnsi="Times New Roman"/>
          <w:b w:val="0"/>
          <w:i w:val="0"/>
          <w:sz w:val="22"/>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i w:val="0"/>
          <w:sz w:val="22"/>
        </w:rPr>
        <w:t>CFD</w:t>
      </w:r>
      <w:r>
        <w:rPr>
          <w:rFonts w:ascii="Times New Roman" w:hAnsi="Times New Roman"/>
          <w:b w:val="0"/>
          <w:i w:val="0"/>
          <w:sz w:val="22"/>
        </w:rPr>
        <w:t>) simulations that each take 6–10 hours. This paper presents a physics-guardrailed, machine-learning-accelerated framework that evaluates new showerhead geometries in seconds. The framework operates on two parallel geometry tracks: Track 1 (</w:t>
      </w:r>
      <w:r>
        <w:rPr>
          <w:rFonts w:ascii="Times New Roman" w:hAnsi="Times New Roman"/>
          <w:b/>
          <w:i w:val="0"/>
          <w:sz w:val="22"/>
        </w:rPr>
        <w:t>PCGM</w:t>
      </w:r>
      <w:r>
        <w:rPr>
          <w:rFonts w:ascii="Times New Roman" w:hAnsi="Times New Roman"/>
          <w:b w:val="0"/>
          <w:i w:val="0"/>
          <w:sz w:val="22"/>
        </w:rPr>
        <w:t xml:space="preserve"> — Physics-Constrained Geometric Morphogenesis) searches a parametric hex nozzle array design space; Track 2 (</w:t>
      </w:r>
      <w:r>
        <w:rPr>
          <w:rFonts w:ascii="Times New Roman" w:hAnsi="Times New Roman"/>
          <w:b/>
          <w:i w:val="0"/>
          <w:sz w:val="22"/>
        </w:rPr>
        <w:t>VICES</w:t>
      </w:r>
      <w:r>
        <w:rPr>
          <w:rFonts w:ascii="Times New Roman" w:hAnsi="Times New Roman"/>
          <w:b w:val="0"/>
          <w:i w:val="0"/>
          <w:sz w:val="22"/>
        </w:rPr>
        <w:t xml:space="preserve"> — Voxel-Implicit Computational Engineering Synthesis) synthesises topologically novel geometries using Constructive Solid Geometry (</w:t>
      </w:r>
      <w:r>
        <w:rPr>
          <w:rFonts w:ascii="Times New Roman" w:hAnsi="Times New Roman"/>
          <w:b/>
          <w:i w:val="0"/>
          <w:sz w:val="22"/>
        </w:rPr>
        <w:t>CSG</w:t>
      </w:r>
      <w:r>
        <w:rPr>
          <w:rFonts w:ascii="Times New Roman" w:hAnsi="Times New Roman"/>
          <w:b w:val="0"/>
          <w:i w:val="0"/>
          <w:sz w:val="22"/>
        </w:rPr>
        <w:t>) boolean operations on Signed Distance Fields (</w:t>
      </w:r>
      <w:r>
        <w:rPr>
          <w:rFonts w:ascii="Times New Roman" w:hAnsi="Times New Roman"/>
          <w:b/>
          <w:i w:val="0"/>
          <w:sz w:val="22"/>
        </w:rPr>
        <w:t>SDF</w:t>
      </w:r>
      <w:r>
        <w:rPr>
          <w:rFonts w:ascii="Times New Roman" w:hAnsi="Times New Roman"/>
          <w:b w:val="0"/>
          <w:i w:val="0"/>
          <w:sz w:val="22"/>
        </w:rPr>
        <w:t>) followed by Marching Cubes triangulation, exploring four topology families. A multi-head Graph Neural Network (</w:t>
      </w:r>
      <w:r>
        <w:rPr>
          <w:rFonts w:ascii="Times New Roman" w:hAnsi="Times New Roman"/>
          <w:b/>
          <w:i w:val="0"/>
          <w:sz w:val="22"/>
        </w:rPr>
        <w:t>GNN</w:t>
      </w:r>
      <w:r>
        <w:rPr>
          <w:rFonts w:ascii="Times New Roman" w:hAnsi="Times New Roman"/>
          <w:b w:val="0"/>
          <w:i w:val="0"/>
          <w:sz w:val="22"/>
        </w:rPr>
        <w:t>) surrogate, trained on 123 OpenFOAM reactingFoam cases, predicts velocity, pressure, temperature, and species fields. An eleven-parameter physics guardrail engine enforces dimensionless-number constraints (</w:t>
      </w:r>
      <w:r>
        <w:rPr>
          <w:rFonts w:ascii="Times New Roman" w:hAnsi="Times New Roman"/>
          <w:b/>
          <w:i w:val="0"/>
          <w:sz w:val="22"/>
        </w:rPr>
        <w:t>Re</w:t>
      </w:r>
      <w:r>
        <w:rPr>
          <w:rFonts w:ascii="Times New Roman" w:hAnsi="Times New Roman"/>
          <w:b w:val="0"/>
          <w:i w:val="0"/>
          <w:sz w:val="22"/>
        </w:rPr>
        <w:t xml:space="preserve">, </w:t>
      </w:r>
      <w:r>
        <w:rPr>
          <w:rFonts w:ascii="Times New Roman" w:hAnsi="Times New Roman"/>
          <w:b/>
          <w:i w:val="0"/>
          <w:sz w:val="22"/>
        </w:rPr>
        <w:t>Ma</w:t>
      </w:r>
      <w:r>
        <w:rPr>
          <w:rFonts w:ascii="Times New Roman" w:hAnsi="Times New Roman"/>
          <w:b w:val="0"/>
          <w:i w:val="0"/>
          <w:sz w:val="22"/>
        </w:rPr>
        <w:t xml:space="preserve">, </w:t>
      </w:r>
      <w:r>
        <w:rPr>
          <w:rFonts w:ascii="Times New Roman" w:hAnsi="Times New Roman"/>
          <w:b/>
          <w:i w:val="0"/>
          <w:sz w:val="22"/>
        </w:rPr>
        <w:t>Eu</w:t>
      </w:r>
      <w:r>
        <w:rPr>
          <w:rFonts w:ascii="Times New Roman" w:hAnsi="Times New Roman"/>
          <w:b w:val="0"/>
          <w:i w:val="0"/>
          <w:sz w:val="22"/>
        </w:rPr>
        <w:t xml:space="preserve">, </w:t>
      </w:r>
      <w:r>
        <w:rPr>
          <w:rFonts w:ascii="Times New Roman" w:hAnsi="Times New Roman"/>
          <w:b/>
          <w:i w:val="0"/>
          <w:sz w:val="22"/>
        </w:rPr>
        <w:t>Pr</w:t>
      </w:r>
      <w:r>
        <w:rPr>
          <w:rFonts w:ascii="Times New Roman" w:hAnsi="Times New Roman"/>
          <w:b w:val="0"/>
          <w:i w:val="0"/>
          <w:sz w:val="22"/>
        </w:rPr>
        <w:t xml:space="preserve">, </w:t>
      </w:r>
      <w:r>
        <w:rPr>
          <w:rFonts w:ascii="Times New Roman" w:hAnsi="Times New Roman"/>
          <w:b/>
          <w:i w:val="0"/>
          <w:sz w:val="22"/>
        </w:rPr>
        <w:t>Nu</w:t>
      </w:r>
      <w:r>
        <w:rPr>
          <w:rFonts w:ascii="Times New Roman" w:hAnsi="Times New Roman"/>
          <w:b w:val="0"/>
          <w:i w:val="0"/>
          <w:sz w:val="22"/>
        </w:rPr>
        <w:t xml:space="preserve">, </w:t>
      </w:r>
      <w:r>
        <w:rPr>
          <w:rFonts w:ascii="Times New Roman" w:hAnsi="Times New Roman"/>
          <w:b/>
          <w:i w:val="0"/>
          <w:sz w:val="22"/>
        </w:rPr>
        <w:t>Bi</w:t>
      </w:r>
      <w:r>
        <w:rPr>
          <w:rFonts w:ascii="Times New Roman" w:hAnsi="Times New Roman"/>
          <w:b w:val="0"/>
          <w:i w:val="0"/>
          <w:sz w:val="22"/>
        </w:rPr>
        <w:t xml:space="preserve">, </w:t>
      </w:r>
      <w:r>
        <w:rPr>
          <w:rFonts w:ascii="Times New Roman" w:hAnsi="Times New Roman"/>
          <w:b/>
          <w:i w:val="0"/>
          <w:sz w:val="22"/>
        </w:rPr>
        <w:t>Sc</w:t>
      </w:r>
      <w:r>
        <w:rPr>
          <w:rFonts w:ascii="Times New Roman" w:hAnsi="Times New Roman"/>
          <w:b w:val="0"/>
          <w:i w:val="0"/>
          <w:sz w:val="22"/>
        </w:rPr>
        <w:t xml:space="preserve">, </w:t>
      </w:r>
      <w:r>
        <w:rPr>
          <w:rFonts w:ascii="Times New Roman" w:hAnsi="Times New Roman"/>
          <w:b/>
          <w:i w:val="0"/>
          <w:sz w:val="22"/>
        </w:rPr>
        <w:t>Sh</w:t>
      </w:r>
      <w:r>
        <w:rPr>
          <w:rFonts w:ascii="Times New Roman" w:hAnsi="Times New Roman"/>
          <w:b w:val="0"/>
          <w:i w:val="0"/>
          <w:sz w:val="22"/>
        </w:rPr>
        <w:t xml:space="preserve">, </w:t>
      </w:r>
      <w:r>
        <w:rPr>
          <w:rFonts w:ascii="Times New Roman" w:hAnsi="Times New Roman"/>
          <w:b/>
          <w:i w:val="0"/>
          <w:sz w:val="22"/>
        </w:rPr>
        <w:t>Pe_h</w:t>
      </w:r>
      <w:r>
        <w:rPr>
          <w:rFonts w:ascii="Times New Roman" w:hAnsi="Times New Roman"/>
          <w:b w:val="0"/>
          <w:i w:val="0"/>
          <w:sz w:val="22"/>
        </w:rPr>
        <w:t xml:space="preserve">, </w:t>
      </w:r>
      <w:r>
        <w:rPr>
          <w:rFonts w:ascii="Times New Roman" w:hAnsi="Times New Roman"/>
          <w:b/>
          <w:i w:val="0"/>
          <w:sz w:val="22"/>
        </w:rPr>
        <w:t>Pe_m</w:t>
      </w:r>
      <w:r>
        <w:rPr>
          <w:rFonts w:ascii="Times New Roman" w:hAnsi="Times New Roman"/>
          <w:b w:val="0"/>
          <w:i w:val="0"/>
          <w:sz w:val="22"/>
        </w:rPr>
        <w:t xml:space="preserve">, </w:t>
      </w:r>
      <w:r>
        <w:rPr>
          <w:rFonts w:ascii="Times New Roman" w:hAnsi="Times New Roman"/>
          <w:b/>
          <w:i w:val="0"/>
          <w:sz w:val="22"/>
        </w:rPr>
        <w:t>Da</w:t>
      </w:r>
      <w:r>
        <w:rPr>
          <w:rFonts w:ascii="Times New Roman" w:hAnsi="Times New Roman"/>
          <w:b w:val="0"/>
          <w:i w:val="0"/>
          <w:sz w:val="22"/>
        </w:rPr>
        <w:t>). A multi-fidelity Key Performance Indicator (</w:t>
      </w:r>
      <w:r>
        <w:rPr>
          <w:rFonts w:ascii="Times New Roman" w:hAnsi="Times New Roman"/>
          <w:b/>
          <w:i w:val="0"/>
          <w:sz w:val="22"/>
        </w:rPr>
        <w:t>KPI</w:t>
      </w:r>
      <w:r>
        <w:rPr>
          <w:rFonts w:ascii="Times New Roman" w:hAnsi="Times New Roman"/>
          <w:b w:val="0"/>
          <w:i w:val="0"/>
          <w:sz w:val="22"/>
        </w:rPr>
        <w:t>) surrogate achieves out-of-fold (</w:t>
      </w:r>
      <w:r>
        <w:rPr>
          <w:rFonts w:ascii="Times New Roman" w:hAnsi="Times New Roman"/>
          <w:b/>
          <w:i w:val="0"/>
          <w:sz w:val="22"/>
        </w:rPr>
        <w:t>OOF</w:t>
      </w:r>
      <w:r>
        <w:rPr>
          <w:rFonts w:ascii="Times New Roman" w:hAnsi="Times New Roman"/>
          <w:b w:val="0"/>
          <w:i w:val="0"/>
          <w:sz w:val="22"/>
        </w:rPr>
        <w:t xml:space="preserve">) Spearman rank correlation rho = 0.947. Track 2 topology search improves </w:t>
      </w:r>
      <w:r>
        <w:rPr>
          <w:rFonts w:ascii="Times New Roman" w:hAnsi="Times New Roman"/>
          <w:b/>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 xml:space="preserve">-UI) by +0.448 over the best parametric design (0.792 vs 0.344, +130%), demonstrating that the topology gap — not surrogate prediction accuracy — is the binding constraint in </w:t>
      </w:r>
      <w:r>
        <w:rPr>
          <w:rFonts w:ascii="Times New Roman" w:hAnsi="Times New Roman"/>
          <w:b w:val="0"/>
          <w:i w:val="0"/>
          <w:sz w:val="22"/>
        </w:rPr>
        <w:t>ALD</w:t>
      </w:r>
      <w:r>
        <w:rPr>
          <w:rFonts w:ascii="Times New Roman" w:hAnsi="Times New Roman"/>
          <w:b w:val="0"/>
          <w:i w:val="0"/>
          <w:sz w:val="22"/>
        </w:rPr>
        <w:t xml:space="preserve"> showerhead design. The annular-ring geometry that achieves the best performance physically cannot be represented by any hex-array parameter setting; the geometry itself is the contribution, and the surrogate simply measures it.</w:t>
      </w:r>
    </w:p>
    <w:p>
      <w:pPr>
        <w:spacing w:after="200"/>
      </w:pPr>
      <w:r>
        <w:rPr>
          <w:rFonts w:ascii="Times New Roman" w:hAnsi="Times New Roman"/>
          <w:b/>
          <w:i w:val="0"/>
          <w:sz w:val="22"/>
        </w:rPr>
        <w:t xml:space="preserve">Keywords: </w:t>
      </w:r>
      <w:r>
        <w:rPr>
          <w:rFonts w:ascii="Times New Roman" w:hAnsi="Times New Roman"/>
          <w:b w:val="0"/>
          <w:i/>
          <w:sz w:val="22"/>
        </w:rPr>
        <w:t>Atomic Layer Deposition; Graph Neural Network surrogate; Constructive Solid Geometry; Signed Distance Field; Marching Cubes; Physics guardrails; Showerhead optimisation; OpenFOAM; Dimensionless numbers</w:t>
      </w:r>
    </w:p>
    <w:p/>
    <w:p>
      <w:pPr>
        <w:spacing w:before="240" w:after="80"/>
      </w:pPr>
      <w:r>
        <w:rPr>
          <w:rFonts w:ascii="Times New Roman" w:hAnsi="Times New Roman"/>
          <w:b/>
          <w:i w:val="0"/>
          <w:color w:val="003366"/>
          <w:sz w:val="28"/>
        </w:rPr>
        <w:t>1. Introduction</w:t>
      </w:r>
    </w:p>
    <w:p>
      <w:pPr>
        <w:spacing w:after="120"/>
        <w:jc w:val="both"/>
      </w:pPr>
      <w:r>
        <w:rPr>
          <w:rFonts w:ascii="Times New Roman" w:hAnsi="Times New Roman"/>
          <w:b w:val="0"/>
          <w:i w:val="0"/>
          <w:sz w:val="22"/>
        </w:rPr>
        <w:t>ALD</w:t>
      </w:r>
      <w:r>
        <w:rPr>
          <w:rFonts w:ascii="Times New Roman" w:hAnsi="Times New Roman"/>
          <w:b w:val="0"/>
          <w:i w:val="0"/>
          <w:sz w:val="22"/>
        </w:rPr>
        <w:t xml:space="preserve">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w:t>
      </w:r>
      <w:r>
        <w:rPr>
          <w:rFonts w:ascii="Times New Roman" w:hAnsi="Times New Roman"/>
          <w:b w:val="0"/>
          <w:i w:val="0"/>
          <w:sz w:val="22"/>
        </w:rPr>
        <w:t>TMA</w:t>
      </w:r>
      <w:r>
        <w:rPr>
          <w:rFonts w:ascii="Times New Roman" w:hAnsi="Times New Roman"/>
          <w:b w:val="0"/>
          <w:i w:val="0"/>
          <w:sz w:val="22"/>
        </w:rPr>
        <w:t>, Al(CH3)3) for aluminium oxide films — arrives uniformly at every point on the wafer in every cycle. Non-uniformity directly causes spatially varying film thickness, a device-killing defect at the nanoscale.</w:t>
      </w:r>
    </w:p>
    <w:p>
      <w:pPr>
        <w:spacing w:after="120"/>
        <w:jc w:val="both"/>
      </w:pPr>
      <w:r>
        <w:rPr>
          <w:rFonts w:ascii="Times New Roman" w:hAnsi="Times New Roman"/>
          <w:b w:val="0"/>
          <w:i w:val="0"/>
          <w:sz w:val="22"/>
        </w:rPr>
        <w:t xml:space="preserve">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w:t>
      </w:r>
      <w:r>
        <w:rPr>
          <w:rFonts w:ascii="Times New Roman" w:hAnsi="Times New Roman"/>
          <w:b w:val="0"/>
          <w:i w:val="0"/>
          <w:sz w:val="22"/>
        </w:rPr>
        <w:t>CFD</w:t>
      </w:r>
      <w:r>
        <w:rPr>
          <w:rFonts w:ascii="Times New Roman" w:hAnsi="Times New Roman"/>
          <w:b w:val="0"/>
          <w:i w:val="0"/>
          <w:sz w:val="22"/>
        </w:rPr>
        <w:t xml:space="preserve"> simulation (6–10 hours per design), analyses the result, and adjusts. This loop explores only a tiny fraction of the design space and is constrained to one topology family.</w:t>
      </w:r>
    </w:p>
    <w:p>
      <w:pPr>
        <w:spacing w:before="240" w:after="80"/>
      </w:pPr>
      <w:r>
        <w:rPr>
          <w:rFonts w:ascii="Times New Roman" w:hAnsi="Times New Roman"/>
          <w:b/>
          <w:i w:val="0"/>
          <w:color w:val="005082"/>
          <w:sz w:val="24"/>
        </w:rPr>
        <w:t>1.1 A Geometric Approach — Not a Physics Solver</w:t>
      </w:r>
    </w:p>
    <w:p>
      <w:pPr>
        <w:spacing w:after="120"/>
        <w:jc w:val="both"/>
      </w:pPr>
      <w:r>
        <w:rPr>
          <w:rFonts w:ascii="Times New Roman" w:hAnsi="Times New Roman"/>
          <w:b w:val="0"/>
          <w:i w:val="0"/>
          <w:sz w:val="22"/>
        </w:rPr>
        <w:t xml:space="preserve">Before describing the framework, it is important to position this work correctly relative to other machine learning approaches to </w:t>
      </w:r>
      <w:r>
        <w:rPr>
          <w:rFonts w:ascii="Times New Roman" w:hAnsi="Times New Roman"/>
          <w:b w:val="0"/>
          <w:i w:val="0"/>
          <w:sz w:val="22"/>
        </w:rPr>
        <w:t>CFD</w:t>
      </w:r>
      <w:r>
        <w:rPr>
          <w:rFonts w:ascii="Times New Roman" w:hAnsi="Times New Roman"/>
          <w:b w:val="0"/>
          <w:i w:val="0"/>
          <w:sz w:val="22"/>
        </w:rPr>
        <w:t>. A large body of recent literature focuses on Physics-Informed Neural Networks (PINNs) and neural PDE solvers — methods that embed the Navier-Stokes equations as loss terms and learn to solve them faster or more accurately. This work is fundamentally different, and the distinction matters.</w:t>
      </w:r>
    </w:p>
    <w:tbl>
      <w:tblPr>
        <w:tblStyle w:val="TableGrid"/>
        <w:tblW w:type="auto" w:w="0"/>
        <w:tblLook w:firstColumn="1" w:firstRow="1" w:lastColumn="0" w:lastRow="0" w:noHBand="0" w:noVBand="1" w:val="04A0"/>
      </w:tblPr>
      <w:tblGrid>
        <w:gridCol w:w="4419"/>
        <w:gridCol w:w="4419"/>
      </w:tblGrid>
      <w:tr>
        <w:tc>
          <w:tcPr>
            <w:tcW w:type="dxa" w:w="4419"/>
          </w:tcPr>
          <w:p>
            <w:r>
              <w:rPr>
                <w:b/>
                <w:sz w:val="18"/>
              </w:rPr>
              <w:t>PINN / Custom Solver Approach</w:t>
            </w:r>
          </w:p>
        </w:tc>
        <w:tc>
          <w:tcPr>
            <w:tcW w:type="dxa" w:w="4419"/>
          </w:tcPr>
          <w:p>
            <w:r>
              <w:rPr>
                <w:b/>
                <w:sz w:val="18"/>
              </w:rPr>
              <w:t>This Work — Geometric Topology Search</w:t>
            </w:r>
          </w:p>
        </w:tc>
      </w:tr>
      <w:tr>
        <w:tc>
          <w:tcPr>
            <w:tcW w:type="dxa" w:w="4419"/>
          </w:tcPr>
          <w:p>
            <w:r>
              <w:rPr>
                <w:sz w:val="18"/>
              </w:rPr>
              <w:t>Takes a fixed geometry as input</w:t>
            </w:r>
          </w:p>
        </w:tc>
        <w:tc>
          <w:tcPr>
            <w:tcW w:type="dxa" w:w="4419"/>
          </w:tcPr>
          <w:p>
            <w:r>
              <w:rPr>
                <w:sz w:val="18"/>
              </w:rPr>
              <w:t>Generates geometries that did not previously exist</w:t>
            </w:r>
          </w:p>
        </w:tc>
      </w:tr>
      <w:tr>
        <w:tc>
          <w:tcPr>
            <w:tcW w:type="dxa" w:w="4419"/>
          </w:tcPr>
          <w:p>
            <w:r>
              <w:rPr>
                <w:sz w:val="18"/>
              </w:rPr>
              <w:t>Learns to solve Navier-Stokes faster or more accurately</w:t>
            </w:r>
          </w:p>
        </w:tc>
        <w:tc>
          <w:tcPr>
            <w:tcW w:type="dxa" w:w="4419"/>
          </w:tcPr>
          <w:p>
            <w:r>
              <w:rPr>
                <w:sz w:val="18"/>
              </w:rPr>
              <w:t>Explores a topology space formally bounded by Catalan numbers</w:t>
            </w:r>
          </w:p>
        </w:tc>
      </w:tr>
      <w:tr>
        <w:tc>
          <w:tcPr>
            <w:tcW w:type="dxa" w:w="4419"/>
          </w:tcPr>
          <w:p>
            <w:r>
              <w:rPr>
                <w:sz w:val="18"/>
              </w:rPr>
              <w:t>Novelty = better physics prediction quality</w:t>
            </w:r>
          </w:p>
        </w:tc>
        <w:tc>
          <w:tcPr>
            <w:tcW w:type="dxa" w:w="4419"/>
          </w:tcPr>
          <w:p>
            <w:r>
              <w:rPr>
                <w:sz w:val="18"/>
              </w:rPr>
              <w:t>Novelty = access to designs parametric tools cannot reach</w:t>
            </w:r>
          </w:p>
        </w:tc>
      </w:tr>
      <w:tr>
        <w:tc>
          <w:tcPr>
            <w:tcW w:type="dxa" w:w="4419"/>
          </w:tcPr>
          <w:p>
            <w:r>
              <w:rPr>
                <w:sz w:val="18"/>
              </w:rPr>
              <w:t>Design space: unchanged</w:t>
            </w:r>
          </w:p>
        </w:tc>
        <w:tc>
          <w:tcPr>
            <w:tcW w:type="dxa" w:w="4419"/>
          </w:tcPr>
          <w:p>
            <w:r>
              <w:rPr>
                <w:sz w:val="18"/>
              </w:rPr>
              <w:t>Design space: expanded — new topological families synthesised</w:t>
            </w:r>
          </w:p>
        </w:tc>
      </w:tr>
    </w:tbl>
    <w:p>
      <w:pPr>
        <w:spacing w:after="160"/>
        <w:jc w:val="center"/>
      </w:pPr>
      <w:r>
        <w:rPr>
          <w:rFonts w:ascii="Times New Roman" w:hAnsi="Times New Roman"/>
          <w:b w:val="0"/>
          <w:i/>
          <w:sz w:val="18"/>
        </w:rPr>
        <w:t>Table 0 — This work vs PINN/solver approaches. The distinction is not in how accurately we predict flow — it is in which designs we can reach.</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The geometry IS the contribution — the surrogate just measures it.</w:t>
              <w:br/>
            </w:r>
            <w:r>
              <w:rPr>
                <w:rFonts w:ascii="Times New Roman" w:hAnsi="Times New Roman"/>
                <w:b w:val="0"/>
                <w:i/>
                <w:color w:val="2C3E50"/>
                <w:sz w:val="20"/>
              </w:rPr>
              <w:t>"Consider the central result: Track 2 achieves +130% TMA uniformity over Track 1. This improvement does not come from a better surrogate model. It comes from the fact that the annular-ring nozzle pattern physically cannot be represented by any hex-array parameter setting — no matter how many sliders you move. The geometry itself unlocks the performance. The surrogate simply evaluates it quickly. A fundamental principle in computational engineering design states: the bottleneck is not analysis speed — it is the ability to synthesise geometries outside the engineer's mental model. Our Catalan number characterisation formally proves why parametric tools miss these designs: for n primitives, C(n-1) distinct CSG tree topologies exist, and every parametric tool is locked to exactly one of them."</w:t>
            </w:r>
          </w:p>
        </w:tc>
      </w:tr>
    </w:tbl>
    <w:p>
      <w:pPr>
        <w:spacing w:after="120"/>
      </w:pPr>
    </w:p>
    <w:p>
      <w:pPr>
        <w:spacing w:after="120"/>
        <w:jc w:val="both"/>
      </w:pPr>
      <w:r>
        <w:rPr>
          <w:rFonts w:ascii="Times New Roman" w:hAnsi="Times New Roman"/>
          <w:b w:val="0"/>
          <w:i w:val="0"/>
          <w:sz w:val="22"/>
        </w:rPr>
        <w:t>We present a dual-track surrogate framework. Track 1 (</w:t>
      </w:r>
      <w:r>
        <w:rPr>
          <w:rFonts w:ascii="Times New Roman" w:hAnsi="Times New Roman"/>
          <w:b w:val="0"/>
          <w:i w:val="0"/>
          <w:sz w:val="22"/>
        </w:rPr>
        <w:t>PCGM</w:t>
      </w:r>
      <w:r>
        <w:rPr>
          <w:rFonts w:ascii="Times New Roman" w:hAnsi="Times New Roman"/>
          <w:b w:val="0"/>
          <w:i w:val="0"/>
          <w:sz w:val="22"/>
        </w:rPr>
        <w:t>) provides efficient parametric search with physics guardrails within a fixed topology. Track 2 (</w:t>
      </w:r>
      <w:r>
        <w:rPr>
          <w:rFonts w:ascii="Times New Roman" w:hAnsi="Times New Roman"/>
          <w:b w:val="0"/>
          <w:i w:val="0"/>
          <w:sz w:val="22"/>
        </w:rPr>
        <w:t>VICES</w:t>
      </w:r>
      <w:r>
        <w:rPr>
          <w:rFonts w:ascii="Times New Roman" w:hAnsi="Times New Roman"/>
          <w:b w:val="0"/>
          <w:i w:val="0"/>
          <w:sz w:val="22"/>
        </w:rPr>
        <w:t>) introduces topology-level search using Constructive Solid Geometry (</w:t>
      </w:r>
      <w:r>
        <w:rPr>
          <w:rFonts w:ascii="Times New Roman" w:hAnsi="Times New Roman"/>
          <w:b w:val="0"/>
          <w:i w:val="0"/>
          <w:sz w:val="22"/>
        </w:rPr>
        <w:t>CSG</w:t>
      </w:r>
      <w:r>
        <w:rPr>
          <w:rFonts w:ascii="Times New Roman" w:hAnsi="Times New Roman"/>
          <w:b w:val="0"/>
          <w:i w:val="0"/>
          <w:sz w:val="22"/>
        </w:rPr>
        <w:t>), synthesising showerhead geometries from four fundamentally different topology families — designs that Track 1 cannot represent at any parameter setting. The framework uses 123 self-generated OpenFOAM reactingFoam simulations as training data — fully open-source and reproducible. All code is at https://github.com/Ranaam21/cfd-ald-app.</w:t>
      </w:r>
    </w:p>
    <w:p>
      <w:pPr>
        <w:spacing w:after="120"/>
        <w:jc w:val="both"/>
      </w:pPr>
      <w:r>
        <w:rPr>
          <w:rFonts w:ascii="Times New Roman" w:hAnsi="Times New Roman"/>
          <w:b w:val="0"/>
          <w:i w:val="0"/>
          <w:sz w:val="22"/>
        </w:rPr>
        <w:t>Principal contributions:</w:t>
      </w:r>
    </w:p>
    <w:p>
      <w:pPr>
        <w:pStyle w:val="ListBullet"/>
        <w:spacing w:after="60"/>
        <w:jc w:val="both"/>
      </w:pPr>
      <w:r>
        <w:rPr>
          <w:rFonts w:ascii="Times New Roman" w:hAnsi="Times New Roman"/>
          <w:b/>
          <w:i w:val="0"/>
          <w:sz w:val="22"/>
        </w:rPr>
        <w:t xml:space="preserve">Dual-track framework: </w:t>
      </w:r>
      <w:r>
        <w:rPr>
          <w:rFonts w:ascii="Times New Roman" w:hAnsi="Times New Roman"/>
          <w:b w:val="0"/>
          <w:i w:val="0"/>
          <w:sz w:val="22"/>
        </w:rPr>
        <w:t>first direct comparison of parametric (PCGM) and voxel-implicit CSG (VICES) geometry synthesis for ALD reactor design on identical physics.</w:t>
      </w:r>
    </w:p>
    <w:p>
      <w:pPr>
        <w:pStyle w:val="ListBullet"/>
        <w:spacing w:after="60"/>
        <w:jc w:val="both"/>
      </w:pPr>
      <w:r>
        <w:rPr>
          <w:rFonts w:ascii="Times New Roman" w:hAnsi="Times New Roman"/>
          <w:b/>
          <w:i w:val="0"/>
          <w:sz w:val="22"/>
        </w:rPr>
        <w:t xml:space="preserve">Catalan-number characterisation: </w:t>
      </w:r>
      <w:r>
        <w:rPr>
          <w:rFonts w:ascii="Times New Roman" w:hAnsi="Times New Roman"/>
          <w:b w:val="0"/>
          <w:i w:val="0"/>
          <w:sz w:val="22"/>
        </w:rPr>
        <w:t>for n primitive shapes, C(n-1) distinct CSG binary tree topologies exist (e.g. 6 primitives → C(5) = 42 topologies), providing a rigorous bound on topology search complexity.</w:t>
      </w:r>
    </w:p>
    <w:p>
      <w:pPr>
        <w:pStyle w:val="ListBullet"/>
        <w:spacing w:after="60"/>
        <w:jc w:val="both"/>
      </w:pPr>
      <w:r>
        <w:rPr>
          <w:rFonts w:ascii="Times New Roman" w:hAnsi="Times New Roman"/>
          <w:b/>
          <w:i w:val="0"/>
          <w:sz w:val="22"/>
        </w:rPr>
        <w:t xml:space="preserve">Multi-head GNN with guardrails: </w:t>
      </w:r>
      <w:r>
        <w:rPr>
          <w:rFonts w:ascii="Times New Roman" w:hAnsi="Times New Roman"/>
          <w:b w:val="0"/>
          <w:i w:val="0"/>
          <w:sz w:val="22"/>
        </w:rPr>
        <w:t>15-layer MeshGraphNet with three output heads and an eleven-parameter dimensionless-number guardrail engine.</w:t>
      </w:r>
    </w:p>
    <w:p>
      <w:pPr>
        <w:pStyle w:val="ListBullet"/>
        <w:spacing w:after="60"/>
        <w:jc w:val="both"/>
      </w:pPr>
      <w:r>
        <w:rPr>
          <w:rFonts w:ascii="Times New Roman" w:hAnsi="Times New Roman"/>
          <w:b/>
          <w:i w:val="0"/>
          <w:sz w:val="22"/>
        </w:rPr>
        <w:t xml:space="preserve">Multi-fidelity KPI surrogate: </w:t>
      </w:r>
      <w:r>
        <w:rPr>
          <w:rFonts w:ascii="Times New Roman" w:hAnsi="Times New Roman"/>
          <w:b w:val="0"/>
          <w:i w:val="0"/>
          <w:sz w:val="22"/>
        </w:rPr>
        <w:t>5-fold cross-validated MLP achieving OOF Spearman rho = 0.947 on 120 cases.</w:t>
      </w:r>
    </w:p>
    <w:p>
      <w:pPr>
        <w:pStyle w:val="ListBullet"/>
        <w:spacing w:after="60"/>
        <w:jc w:val="both"/>
      </w:pPr>
      <w:r>
        <w:rPr>
          <w:rFonts w:ascii="Times New Roman" w:hAnsi="Times New Roman"/>
          <w:b/>
          <w:i w:val="0"/>
          <w:sz w:val="22"/>
        </w:rPr>
        <w:t xml:space="preserve">Track 2 topology discovery: </w:t>
      </w:r>
      <w:r>
        <w:rPr>
          <w:rFonts w:ascii="Times New Roman" w:hAnsi="Times New Roman"/>
          <w:b w:val="0"/>
          <w:i w:val="0"/>
          <w:sz w:val="22"/>
        </w:rPr>
        <w:t>annular-ring design achieves TMA-UI = 0.792 vs Track 1 maximum of 0.344 (+130%), quantifying the performance gain from topology-level search.</w:t>
      </w:r>
    </w:p>
    <w:p>
      <w:pPr>
        <w:spacing w:before="240" w:after="80"/>
      </w:pPr>
      <w:r>
        <w:rPr>
          <w:rFonts w:ascii="Times New Roman" w:hAnsi="Times New Roman"/>
          <w:b/>
          <w:i w:val="0"/>
          <w:color w:val="003366"/>
          <w:sz w:val="28"/>
        </w:rPr>
        <w:t>2. Background and Related Work</w:t>
      </w:r>
    </w:p>
    <w:p>
      <w:pPr>
        <w:spacing w:before="240" w:after="80"/>
      </w:pPr>
      <w:r>
        <w:rPr>
          <w:rFonts w:ascii="Times New Roman" w:hAnsi="Times New Roman"/>
          <w:b/>
          <w:i w:val="0"/>
          <w:color w:val="005082"/>
          <w:sz w:val="24"/>
        </w:rPr>
        <w:t>2.1 ALD Reactor Modelling</w:t>
      </w:r>
    </w:p>
    <w:p>
      <w:pPr>
        <w:spacing w:after="120"/>
        <w:jc w:val="both"/>
      </w:pPr>
      <w:r>
        <w:rPr>
          <w:rFonts w:ascii="Times New Roman" w:hAnsi="Times New Roman"/>
          <w:b w:val="0"/>
          <w:i w:val="0"/>
          <w:sz w:val="22"/>
        </w:rPr>
        <w:t xml:space="preserve">Computational modelling of </w:t>
      </w:r>
      <w:r>
        <w:rPr>
          <w:rFonts w:ascii="Times New Roman" w:hAnsi="Times New Roman"/>
          <w:b w:val="0"/>
          <w:i w:val="0"/>
          <w:sz w:val="22"/>
        </w:rPr>
        <w:t>ALD</w:t>
      </w:r>
      <w:r>
        <w:rPr>
          <w:rFonts w:ascii="Times New Roman" w:hAnsi="Times New Roman"/>
          <w:b w:val="0"/>
          <w:i w:val="0"/>
          <w:sz w:val="22"/>
        </w:rPr>
        <w:t xml:space="preserve"> reactors has been studied extensively. Granneman et al. [1] and Cremers et al. [2] established that precursor distribution uniformity directly controls film quality. Pan et al. [3] developed multiscale </w:t>
      </w:r>
      <w:r>
        <w:rPr>
          <w:rFonts w:ascii="Times New Roman" w:hAnsi="Times New Roman"/>
          <w:b w:val="0"/>
          <w:i w:val="0"/>
          <w:sz w:val="22"/>
        </w:rPr>
        <w:t>CFD</w:t>
      </w:r>
      <w:r>
        <w:rPr>
          <w:rFonts w:ascii="Times New Roman" w:hAnsi="Times New Roman"/>
          <w:b w:val="0"/>
          <w:i w:val="0"/>
          <w:sz w:val="22"/>
        </w:rPr>
        <w:t xml:space="preserve"> models coupling gas-phase transport with surface kinetics. The Argonne aldFoam solver [4] provides </w:t>
      </w:r>
      <w:r>
        <w:rPr>
          <w:rFonts w:ascii="Times New Roman" w:hAnsi="Times New Roman"/>
          <w:b w:val="0"/>
          <w:i w:val="0"/>
          <w:sz w:val="22"/>
        </w:rPr>
        <w:t>ALD</w:t>
      </w:r>
      <w:r>
        <w:rPr>
          <w:rFonts w:ascii="Times New Roman" w:hAnsi="Times New Roman"/>
          <w:b w:val="0"/>
          <w:i w:val="0"/>
          <w:sz w:val="22"/>
        </w:rPr>
        <w:t>-specific reactive transport within OpenFOAM. We use the standard reactingFoam solver [5] — part of the openly available OpenFOAM framework — which handles flow, heat, species transport, and turbulence without custom compilation, making our 123-case dataset fully reproducible.</w:t>
      </w:r>
    </w:p>
    <w:p>
      <w:pPr>
        <w:spacing w:before="240" w:after="80"/>
      </w:pPr>
      <w:r>
        <w:rPr>
          <w:rFonts w:ascii="Times New Roman" w:hAnsi="Times New Roman"/>
          <w:b/>
          <w:i w:val="0"/>
          <w:color w:val="005082"/>
          <w:sz w:val="24"/>
        </w:rPr>
        <w:t>2.2 GNN Surrogates for CFD</w:t>
      </w:r>
    </w:p>
    <w:p>
      <w:pPr>
        <w:spacing w:after="120"/>
        <w:jc w:val="both"/>
      </w:pPr>
      <w:r>
        <w:rPr>
          <w:rFonts w:ascii="Times New Roman" w:hAnsi="Times New Roman"/>
          <w:b w:val="0"/>
          <w:i w:val="0"/>
          <w:sz w:val="22"/>
        </w:rPr>
        <w:t xml:space="preserve">GNNs have emerged as the leading architecture for </w:t>
      </w:r>
      <w:r>
        <w:rPr>
          <w:rFonts w:ascii="Times New Roman" w:hAnsi="Times New Roman"/>
          <w:b w:val="0"/>
          <w:i w:val="0"/>
          <w:sz w:val="22"/>
        </w:rPr>
        <w:t>CFD</w:t>
      </w:r>
      <w:r>
        <w:rPr>
          <w:rFonts w:ascii="Times New Roman" w:hAnsi="Times New Roman"/>
          <w:b w:val="0"/>
          <w:i w:val="0"/>
          <w:sz w:val="22"/>
        </w:rPr>
        <w:t xml:space="preserve"> surrogates on unstructured meshes and point clouds. Pfaff et al. [6] introduced MeshGraphNet — a message-passing </w:t>
      </w:r>
      <w:r>
        <w:rPr>
          <w:rFonts w:ascii="Times New Roman" w:hAnsi="Times New Roman"/>
          <w:b w:val="0"/>
          <w:i w:val="0"/>
          <w:sz w:val="22"/>
        </w:rPr>
        <w:t>GNN</w:t>
      </w:r>
      <w:r>
        <w:rPr>
          <w:rFonts w:ascii="Times New Roman" w:hAnsi="Times New Roman"/>
          <w:b w:val="0"/>
          <w:i w:val="0"/>
          <w:sz w:val="22"/>
        </w:rPr>
        <w:t xml:space="preserve"> that operates directly on simulation meshes. Bonnet et al. [7] released AirfRANS, a benchmark dataset of Reynolds-Averaged Navier-Stokes (</w:t>
      </w:r>
      <w:r>
        <w:rPr>
          <w:rFonts w:ascii="Times New Roman" w:hAnsi="Times New Roman"/>
          <w:b/>
          <w:i w:val="0"/>
          <w:sz w:val="22"/>
        </w:rPr>
        <w:t>RANS</w:t>
      </w:r>
      <w:r>
        <w:rPr>
          <w:rFonts w:ascii="Times New Roman" w:hAnsi="Times New Roman"/>
          <w:b w:val="0"/>
          <w:i w:val="0"/>
          <w:sz w:val="22"/>
        </w:rPr>
        <w:t xml:space="preserve">) solutions used for </w:t>
      </w:r>
      <w:r>
        <w:rPr>
          <w:rFonts w:ascii="Times New Roman" w:hAnsi="Times New Roman"/>
          <w:b w:val="0"/>
          <w:i w:val="0"/>
          <w:sz w:val="22"/>
        </w:rPr>
        <w:t>GNN</w:t>
      </w:r>
      <w:r>
        <w:rPr>
          <w:rFonts w:ascii="Times New Roman" w:hAnsi="Times New Roman"/>
          <w:b w:val="0"/>
          <w:i w:val="0"/>
          <w:sz w:val="22"/>
        </w:rPr>
        <w:t xml:space="preserve"> pretraining. Our MultiHeadMGN extends MeshGraphNet with three independent decoder heads and LayerNorm regularisation, implemented in PyTorch Geometric (PyG) [8].</w:t>
      </w:r>
    </w:p>
    <w:p>
      <w:pPr>
        <w:spacing w:before="240" w:after="80"/>
      </w:pPr>
      <w:r>
        <w:rPr>
          <w:rFonts w:ascii="Times New Roman" w:hAnsi="Times New Roman"/>
          <w:b/>
          <w:i w:val="0"/>
          <w:color w:val="005082"/>
          <w:sz w:val="24"/>
        </w:rPr>
        <w:t>2.3 CSG Geometry Synthesis and SDF</w:t>
      </w:r>
    </w:p>
    <w:p>
      <w:pPr>
        <w:spacing w:after="120"/>
        <w:jc w:val="both"/>
      </w:pPr>
      <w:r>
        <w:rPr>
          <w:rFonts w:ascii="Times New Roman" w:hAnsi="Times New Roman"/>
          <w:b w:val="0"/>
          <w:i w:val="0"/>
          <w:sz w:val="22"/>
        </w:rPr>
        <w:t>CSG</w:t>
      </w:r>
      <w:r>
        <w:rPr>
          <w:rFonts w:ascii="Times New Roman" w:hAnsi="Times New Roman"/>
          <w:b w:val="0"/>
          <w:i w:val="0"/>
          <w:sz w:val="22"/>
        </w:rPr>
        <w:t xml:space="preserve"> builds complex shapes from primitives (cylinders, boxes, cones, spheres) via boolean operations: union (combine), subtract (cut), intersect (overlap). When shapes are represented as Signed Distance Fields (</w:t>
      </w:r>
      <w:r>
        <w:rPr>
          <w:rFonts w:ascii="Times New Roman" w:hAnsi="Times New Roman"/>
          <w:b w:val="0"/>
          <w:i w:val="0"/>
          <w:sz w:val="22"/>
        </w:rPr>
        <w:t>SDF</w:t>
      </w:r>
      <w:r>
        <w:rPr>
          <w:rFonts w:ascii="Times New Roman" w:hAnsi="Times New Roman"/>
          <w:b w:val="0"/>
          <w:i w:val="0"/>
          <w:sz w:val="22"/>
        </w:rPr>
        <w:t xml:space="preserve">) — scalar functions returning the signed distance to the nearest surface at any point in space — boolean operations reduce to elementwise arithmetic: union = min(f_A, f_B), subtract = max(f_A, -f_B), intersect = max(f_A, f_B). This approach was pioneered in computational engineering by LEAP71 with their PicoGK toolkit [9]. Our </w:t>
      </w:r>
      <w:r>
        <w:rPr>
          <w:rFonts w:ascii="Times New Roman" w:hAnsi="Times New Roman"/>
          <w:b w:val="0"/>
          <w:i w:val="0"/>
          <w:sz w:val="22"/>
        </w:rPr>
        <w:t>VICES</w:t>
      </w:r>
      <w:r>
        <w:rPr>
          <w:rFonts w:ascii="Times New Roman" w:hAnsi="Times New Roman"/>
          <w:b w:val="0"/>
          <w:i w:val="0"/>
          <w:sz w:val="22"/>
        </w:rPr>
        <w:t xml:space="preserve"> implementation builds the same </w:t>
      </w:r>
      <w:r>
        <w:rPr>
          <w:rFonts w:ascii="Times New Roman" w:hAnsi="Times New Roman"/>
          <w:b w:val="0"/>
          <w:i w:val="0"/>
          <w:sz w:val="22"/>
        </w:rPr>
        <w:t>SDF</w:t>
      </w:r>
      <w:r>
        <w:rPr>
          <w:rFonts w:ascii="Times New Roman" w:hAnsi="Times New Roman"/>
          <w:b w:val="0"/>
          <w:i w:val="0"/>
          <w:sz w:val="22"/>
        </w:rPr>
        <w:t>/</w:t>
      </w:r>
      <w:r>
        <w:rPr>
          <w:rFonts w:ascii="Times New Roman" w:hAnsi="Times New Roman"/>
          <w:b w:val="0"/>
          <w:i w:val="0"/>
          <w:sz w:val="22"/>
        </w:rPr>
        <w:t>CSG</w:t>
      </w:r>
      <w:r>
        <w:rPr>
          <w:rFonts w:ascii="Times New Roman" w:hAnsi="Times New Roman"/>
          <w:b w:val="0"/>
          <w:i w:val="0"/>
          <w:sz w:val="22"/>
        </w:rPr>
        <w:t xml:space="preserve"> pipeline natively in Python and NumPy, requiring no external geometry kernel and enabling direct integration with the PyTorch-based ML surrogate.</w:t>
      </w:r>
    </w:p>
    <w:p>
      <w:pPr>
        <w:spacing w:before="240" w:after="80"/>
      </w:pPr>
      <w:r>
        <w:rPr>
          <w:rFonts w:ascii="Times New Roman" w:hAnsi="Times New Roman"/>
          <w:b/>
          <w:i w:val="0"/>
          <w:color w:val="005082"/>
          <w:sz w:val="24"/>
        </w:rPr>
        <w:t>2.4 Marching Cubes Triangulation</w:t>
      </w:r>
    </w:p>
    <w:p>
      <w:pPr>
        <w:spacing w:after="120"/>
        <w:jc w:val="both"/>
      </w:pPr>
      <w:r>
        <w:rPr>
          <w:rFonts w:ascii="Times New Roman" w:hAnsi="Times New Roman"/>
          <w:b w:val="0"/>
          <w:i w:val="0"/>
          <w:sz w:val="22"/>
        </w:rPr>
        <w:t xml:space="preserve">Lorensen and Cline's Marching Cubes algorithm [10] converts a volumetric </w:t>
      </w:r>
      <w:r>
        <w:rPr>
          <w:rFonts w:ascii="Times New Roman" w:hAnsi="Times New Roman"/>
          <w:b w:val="0"/>
          <w:i w:val="0"/>
          <w:sz w:val="22"/>
        </w:rPr>
        <w:t>SDF</w:t>
      </w:r>
      <w:r>
        <w:rPr>
          <w:rFonts w:ascii="Times New Roman" w:hAnsi="Times New Roman"/>
          <w:b w:val="0"/>
          <w:i w:val="0"/>
          <w:sz w:val="22"/>
        </w:rPr>
        <w:t xml:space="preserve"> to a triangle mesh. Each 2×2×2 cube of voxels has 2^8 = 256 configurations, reducing to 15 unique surface topologies by symmetry. A precomputed lookup table maps each configuration to triangles at the </w:t>
      </w:r>
      <w:r>
        <w:rPr>
          <w:rFonts w:ascii="Times New Roman" w:hAnsi="Times New Roman"/>
          <w:b w:val="0"/>
          <w:i w:val="0"/>
          <w:sz w:val="22"/>
        </w:rPr>
        <w:t>SDF</w:t>
      </w:r>
      <w:r>
        <w:rPr>
          <w:rFonts w:ascii="Times New Roman" w:hAnsi="Times New Roman"/>
          <w:b w:val="0"/>
          <w:i w:val="0"/>
          <w:sz w:val="22"/>
        </w:rPr>
        <w:t xml:space="preserve"> = 0 iso-surface. We use the PyMCubes library [11].</w:t>
      </w:r>
    </w:p>
    <w:p>
      <w:pPr>
        <w:spacing w:before="240" w:after="80"/>
      </w:pPr>
      <w:r>
        <w:rPr>
          <w:rFonts w:ascii="Times New Roman" w:hAnsi="Times New Roman"/>
          <w:b/>
          <w:i w:val="0"/>
          <w:color w:val="003366"/>
          <w:sz w:val="28"/>
        </w:rPr>
        <w:t>3. Framework Architecture</w:t>
      </w:r>
    </w:p>
    <w:p>
      <w:pPr>
        <w:spacing w:after="120"/>
        <w:jc w:val="both"/>
      </w:pPr>
      <w:r>
        <w:rPr>
          <w:rFonts w:ascii="Times New Roman" w:hAnsi="Times New Roman"/>
          <w:b w:val="0"/>
          <w:i w:val="0"/>
          <w:sz w:val="22"/>
        </w:rPr>
        <w:t xml:space="preserve">Figure 1 shows the complete eight-module pipeline. Both tracks share the same physics calculator, data standardisation, </w:t>
      </w:r>
      <w:r>
        <w:rPr>
          <w:rFonts w:ascii="Times New Roman" w:hAnsi="Times New Roman"/>
          <w:b w:val="0"/>
          <w:i w:val="0"/>
          <w:sz w:val="22"/>
        </w:rPr>
        <w:t>GNN</w:t>
      </w:r>
      <w:r>
        <w:rPr>
          <w:rFonts w:ascii="Times New Roman" w:hAnsi="Times New Roman"/>
          <w:b w:val="0"/>
          <w:i w:val="0"/>
          <w:sz w:val="22"/>
        </w:rPr>
        <w:t xml:space="preserve"> surrogate, guardrail engine, and optimizer — differing only in Module 1 (geometry creation). This design enables controlled, direct comparison between parametric and topological geometry synthesis on identical physics.</w:t>
      </w:r>
    </w:p>
    <w:p>
      <w:pPr>
        <w:jc w:val="center"/>
      </w:pPr>
      <w:r>
        <w:drawing>
          <wp:inline xmlns:a="http://schemas.openxmlformats.org/drawingml/2006/main" xmlns:pic="http://schemas.openxmlformats.org/drawingml/2006/picture">
            <wp:extent cx="5486400" cy="430181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301811"/>
                    </a:xfrm>
                    <a:prstGeom prst="rect"/>
                  </pic:spPr>
                </pic:pic>
              </a:graphicData>
            </a:graphic>
          </wp:inline>
        </w:drawing>
      </w:r>
    </w:p>
    <w:p>
      <w:pPr>
        <w:spacing w:before="60" w:after="240"/>
        <w:jc w:val="center"/>
      </w:pPr>
      <w:r>
        <w:rPr>
          <w:rFonts w:ascii="Times New Roman" w:hAnsi="Times New Roman"/>
          <w:b w:val="0"/>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pPr>
        <w:spacing w:after="120"/>
        <w:jc w:val="both"/>
      </w:pPr>
      <w:r>
        <w:rPr>
          <w:rFonts w:ascii="Times New Roman" w:hAnsi="Times New Roman"/>
          <w:b w:val="0"/>
          <w:i w:val="0"/>
          <w:sz w:val="22"/>
        </w:rPr>
        <w:t>The eight modules and their roles:</w:t>
      </w:r>
    </w:p>
    <w:p>
      <w:pPr>
        <w:pStyle w:val="ListBullet"/>
        <w:spacing w:after="60"/>
        <w:jc w:val="both"/>
      </w:pPr>
      <w:r>
        <w:rPr>
          <w:rFonts w:ascii="Times New Roman" w:hAnsi="Times New Roman"/>
          <w:b/>
          <w:i w:val="0"/>
          <w:sz w:val="22"/>
        </w:rPr>
        <w:t xml:space="preserve">Module 0 — Requirements and Guardrails: </w:t>
      </w:r>
      <w:r>
        <w:rPr>
          <w:rFonts w:ascii="Times New Roman" w:hAnsi="Times New Roman"/>
          <w:b w:val="0"/>
          <w:i w:val="0"/>
          <w:sz w:val="22"/>
        </w:rPr>
        <w:t>computes eleven dimensionless numbers and enforces user-settable bounds before any geometry is generated.</w:t>
      </w:r>
    </w:p>
    <w:p>
      <w:pPr>
        <w:pStyle w:val="ListBullet"/>
        <w:spacing w:after="60"/>
        <w:jc w:val="both"/>
      </w:pPr>
      <w:r>
        <w:rPr>
          <w:rFonts w:ascii="Times New Roman" w:hAnsi="Times New Roman"/>
          <w:b/>
          <w:i w:val="0"/>
          <w:sz w:val="22"/>
        </w:rPr>
        <w:t xml:space="preserve">Module 1A — PCGM: </w:t>
      </w:r>
      <w:r>
        <w:rPr>
          <w:rFonts w:ascii="Times New Roman" w:hAnsi="Times New Roman"/>
          <w:b w:val="0"/>
          <w:i w:val="0"/>
          <w:sz w:val="22"/>
        </w:rPr>
        <w:t>generates a hex nozzle array point cloud from five parameters (D, pitch/D, Q, H, t).</w:t>
      </w:r>
    </w:p>
    <w:p>
      <w:pPr>
        <w:pStyle w:val="ListBullet"/>
        <w:spacing w:after="60"/>
        <w:jc w:val="both"/>
      </w:pPr>
      <w:r>
        <w:rPr>
          <w:rFonts w:ascii="Times New Roman" w:hAnsi="Times New Roman"/>
          <w:b/>
          <w:i w:val="0"/>
          <w:sz w:val="22"/>
        </w:rPr>
        <w:t xml:space="preserve">Module 1B — VICES: </w:t>
      </w:r>
      <w:r>
        <w:rPr>
          <w:rFonts w:ascii="Times New Roman" w:hAnsi="Times New Roman"/>
          <w:b w:val="0"/>
          <w:i w:val="0"/>
          <w:sz w:val="22"/>
        </w:rPr>
        <w:t>evaluates a CSG/SDF tree on a 64^3 voxel grid, applies Marching Cubes, and samples an 80,000-point cloud.</w:t>
      </w:r>
    </w:p>
    <w:p>
      <w:pPr>
        <w:pStyle w:val="ListBullet"/>
        <w:spacing w:after="60"/>
        <w:jc w:val="both"/>
      </w:pPr>
      <w:r>
        <w:rPr>
          <w:rFonts w:ascii="Times New Roman" w:hAnsi="Times New Roman"/>
          <w:b/>
          <w:i w:val="0"/>
          <w:sz w:val="22"/>
        </w:rPr>
        <w:t xml:space="preserve">Modules 2+3 — Data Layer and Standardisation: </w:t>
      </w:r>
      <w:r>
        <w:rPr>
          <w:rFonts w:ascii="Times New Roman" w:hAnsi="Times New Roman"/>
          <w:b w:val="0"/>
          <w:i w:val="0"/>
          <w:sz w:val="22"/>
        </w:rPr>
        <w:t>123 OpenFOAM cases → HDF5 with canonical keys and embedded dimensionless features.</w:t>
      </w:r>
    </w:p>
    <w:p>
      <w:pPr>
        <w:pStyle w:val="ListBullet"/>
        <w:spacing w:after="60"/>
        <w:jc w:val="both"/>
      </w:pPr>
      <w:r>
        <w:rPr>
          <w:rFonts w:ascii="Times New Roman" w:hAnsi="Times New Roman"/>
          <w:b/>
          <w:i w:val="0"/>
          <w:sz w:val="22"/>
        </w:rPr>
        <w:t xml:space="preserve">Module 4 — GNN Surrogate: </w:t>
      </w:r>
      <w:r>
        <w:rPr>
          <w:rFonts w:ascii="Times New Roman" w:hAnsi="Times New Roman"/>
          <w:b w:val="0"/>
          <w:i w:val="0"/>
          <w:sz w:val="22"/>
        </w:rPr>
        <w:t>shared encoder + 15 MGNProcessor layers + three decoder heads (flow / heat / species).</w:t>
      </w:r>
    </w:p>
    <w:p>
      <w:pPr>
        <w:pStyle w:val="ListBullet"/>
        <w:spacing w:after="60"/>
        <w:jc w:val="both"/>
      </w:pPr>
      <w:r>
        <w:rPr>
          <w:rFonts w:ascii="Times New Roman" w:hAnsi="Times New Roman"/>
          <w:b/>
          <w:i w:val="0"/>
          <w:sz w:val="22"/>
        </w:rPr>
        <w:t xml:space="preserve">Module 5 — Guardrail Engine: </w:t>
      </w:r>
      <w:r>
        <w:rPr>
          <w:rFonts w:ascii="Times New Roman" w:hAnsi="Times New Roman"/>
          <w:b w:val="0"/>
          <w:i w:val="0"/>
          <w:sz w:val="22"/>
        </w:rPr>
        <w:t>regime checks, confidence scoring, reason codes.</w:t>
      </w:r>
    </w:p>
    <w:p>
      <w:pPr>
        <w:pStyle w:val="ListBullet"/>
        <w:spacing w:after="60"/>
        <w:jc w:val="both"/>
      </w:pPr>
      <w:r>
        <w:rPr>
          <w:rFonts w:ascii="Times New Roman" w:hAnsi="Times New Roman"/>
          <w:b/>
          <w:i w:val="0"/>
          <w:sz w:val="22"/>
        </w:rPr>
        <w:t xml:space="preserve">Module 6 — Optimizer: </w:t>
      </w:r>
      <w:r>
        <w:rPr>
          <w:rFonts w:ascii="Times New Roman" w:hAnsi="Times New Roman"/>
          <w:b w:val="0"/>
          <w:i w:val="0"/>
          <w:sz w:val="22"/>
        </w:rPr>
        <w:t>Track 1: BoTorch Pareto over continuous parameters; Track 2: random topology search over 1,200 candidates.</w:t>
      </w:r>
    </w:p>
    <w:p>
      <w:pPr>
        <w:pStyle w:val="ListBullet"/>
        <w:spacing w:after="60"/>
        <w:jc w:val="both"/>
      </w:pPr>
      <w:r>
        <w:rPr>
          <w:rFonts w:ascii="Times New Roman" w:hAnsi="Times New Roman"/>
          <w:b/>
          <w:i w:val="0"/>
          <w:sz w:val="22"/>
        </w:rPr>
        <w:t xml:space="preserve">Module 7 — Verification: </w:t>
      </w:r>
      <w:r>
        <w:rPr>
          <w:rFonts w:ascii="Times New Roman" w:hAnsi="Times New Roman"/>
          <w:b w:val="0"/>
          <w:i w:val="0"/>
          <w:sz w:val="22"/>
        </w:rPr>
        <w:t>targeted CFD on top Pareto designs, surrogate finetuning.</w:t>
      </w:r>
    </w:p>
    <w:p>
      <w:pPr>
        <w:spacing w:before="240" w:after="80"/>
      </w:pPr>
      <w:r>
        <w:rPr>
          <w:rFonts w:ascii="Times New Roman" w:hAnsi="Times New Roman"/>
          <w:b/>
          <w:i w:val="0"/>
          <w:color w:val="003366"/>
          <w:sz w:val="28"/>
        </w:rPr>
        <w:t>4. Physics Guardrail Engine</w:t>
      </w:r>
    </w:p>
    <w:p>
      <w:pPr>
        <w:spacing w:after="120"/>
        <w:jc w:val="both"/>
      </w:pPr>
      <w:r>
        <w:rPr>
          <w:rFonts w:ascii="Times New Roman" w:hAnsi="Times New Roman"/>
          <w:b w:val="0"/>
          <w:i w:val="0"/>
          <w:sz w:val="22"/>
        </w:rPr>
        <w:t>A key novelty is the explicit physics guardrail engine that validates every design before and after surrogate evaluation. We distinguish two tiers of dimensionless numbers with distinct roles in the pipeline:</w:t>
      </w:r>
    </w:p>
    <w:p>
      <w:pPr>
        <w:pStyle w:val="ListBullet"/>
        <w:spacing w:after="60"/>
        <w:jc w:val="both"/>
      </w:pPr>
      <w:r>
        <w:rPr>
          <w:rFonts w:ascii="Times New Roman" w:hAnsi="Times New Roman"/>
          <w:b/>
          <w:i w:val="0"/>
          <w:sz w:val="22"/>
        </w:rPr>
        <w:t xml:space="preserve">Tier 1 — Design constraints (Re, Ma, Eu, Da, Sc, Pe_m): </w:t>
      </w:r>
      <w:r>
        <w:rPr>
          <w:rFonts w:ascii="Times New Roman" w:hAnsi="Times New Roman"/>
          <w:b w:val="0"/>
          <w:i w:val="0"/>
          <w:sz w:val="22"/>
        </w:rPr>
        <w:t>computed directly from design parameters before the surrogate runs. Violation means the design falls outside the surrogate's training regime — predictions are unreliable. These six numbers block or flag the design before inference.</w:t>
      </w:r>
    </w:p>
    <w:p>
      <w:pPr>
        <w:pStyle w:val="ListBullet"/>
        <w:spacing w:after="60"/>
        <w:jc w:val="both"/>
      </w:pPr>
      <w:r>
        <w:rPr>
          <w:rFonts w:ascii="Times New Roman" w:hAnsi="Times New Roman"/>
          <w:b/>
          <w:i w:val="0"/>
          <w:sz w:val="22"/>
        </w:rPr>
        <w:t xml:space="preserve">Tier 2 — Physical consistency validators (Pr, Pe_h, Nu, Bi, Sh): </w:t>
      </w:r>
      <w:r>
        <w:rPr>
          <w:rFonts w:ascii="Times New Roman" w:hAnsi="Times New Roman"/>
          <w:b w:val="0"/>
          <w:i w:val="0"/>
          <w:sz w:val="22"/>
        </w:rPr>
        <w:t>validated after surrogate prediction using predicted field values. Violation does not block inference but flags the design for CFD refinement. These five numbers are either derived from the solution (Nu, Bi, Sh) or essentially fixed for a given gas mixture (Pr ≈ 0.71 for N₂, Pe_h = Re·Pr).</w:t>
      </w:r>
    </w:p>
    <w:p>
      <w:pPr>
        <w:spacing w:before="240" w:after="80"/>
      </w:pPr>
      <w:r>
        <w:rPr>
          <w:rFonts w:ascii="Times New Roman" w:hAnsi="Times New Roman"/>
          <w:b/>
          <w:i w:val="0"/>
          <w:color w:val="005082"/>
          <w:sz w:val="24"/>
        </w:rPr>
        <w:t>4.1 Tier 1 — Design Constraints</w:t>
      </w:r>
    </w:p>
    <w:p>
      <w:pPr>
        <w:spacing w:after="120"/>
        <w:jc w:val="both"/>
      </w:pPr>
      <w:r>
        <w:rPr>
          <w:rFonts w:ascii="Times New Roman" w:hAnsi="Times New Roman"/>
          <w:b w:val="0"/>
          <w:i w:val="0"/>
          <w:sz w:val="22"/>
        </w:rPr>
        <w:t>The following six numbers are evaluated before surrogate inference:</w:t>
      </w:r>
    </w:p>
    <w:p>
      <w:pPr>
        <w:spacing w:before="240" w:after="80"/>
      </w:pPr>
      <w:r>
        <w:rPr>
          <w:rFonts w:ascii="Times New Roman" w:hAnsi="Times New Roman"/>
          <w:b/>
          <w:i w:val="0"/>
          <w:color w:val="0064A0"/>
          <w:sz w:val="22"/>
        </w:rPr>
        <w:t>4.1a Momentum Transfer</w:t>
      </w:r>
    </w:p>
    <w:p>
      <w:pPr>
        <w:pStyle w:val="ListBullet"/>
        <w:spacing w:after="60"/>
        <w:jc w:val="both"/>
      </w:pPr>
      <w:r>
        <w:rPr>
          <w:rFonts w:ascii="Times New Roman" w:hAnsi="Times New Roman"/>
          <w:b/>
          <w:i w:val="0"/>
          <w:sz w:val="22"/>
        </w:rPr>
        <w:t xml:space="preserve">Reynolds Number Re = rho*V*D / mu: </w:t>
      </w:r>
      <w:r>
        <w:rPr>
          <w:rFonts w:ascii="Times New Roman" w:hAnsi="Times New Roman"/>
          <w:b w:val="0"/>
          <w:i w:val="0"/>
          <w:sz w:val="22"/>
        </w:rPr>
        <w:t>ratio of inertial to viscous forces. rho = gas density [kg/m^3], V = nozzle jet velocity [m/s], D = nozzle diameter [m], mu = dynamic viscosity [Pa.s]. ALD operates at Re &lt;&lt; 2300 (laminar). Guard: Re_max = 5,000.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Re tell us about ALD flow?</w:t>
              <w:br/>
            </w:r>
            <w:r>
              <w:rPr>
                <w:rFonts w:ascii="Times New Roman" w:hAnsi="Times New Roman"/>
                <w:b w:val="0"/>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pPr>
        <w:spacing w:after="120"/>
      </w:pPr>
    </w:p>
    <w:p>
      <w:pPr>
        <w:pStyle w:val="ListBullet"/>
        <w:spacing w:after="60"/>
        <w:jc w:val="both"/>
      </w:pPr>
      <w:r>
        <w:rPr>
          <w:rFonts w:ascii="Times New Roman" w:hAnsi="Times New Roman"/>
          <w:b/>
          <w:i w:val="0"/>
          <w:sz w:val="22"/>
        </w:rPr>
        <w:t xml:space="preserve">Mach Number Ma = V / a: </w:t>
      </w:r>
      <w:r>
        <w:rPr>
          <w:rFonts w:ascii="Times New Roman" w:hAnsi="Times New Roman"/>
          <w:b w:val="0"/>
          <w:i w:val="0"/>
          <w:sz w:val="22"/>
        </w:rPr>
        <w:t>ratio of flow speed V to speed of sound a [m/s]. Ma &gt; 0.3 triggers compressibility effects that invalidate the incompressible surrogate assumption. Guard: Ma_max = 0.3.</w:t>
      </w:r>
    </w:p>
    <w:p>
      <w:pPr>
        <w:pStyle w:val="ListBullet"/>
        <w:spacing w:after="60"/>
        <w:jc w:val="both"/>
      </w:pPr>
      <w:r>
        <w:rPr>
          <w:rFonts w:ascii="Times New Roman" w:hAnsi="Times New Roman"/>
          <w:b/>
          <w:i w:val="0"/>
          <w:sz w:val="22"/>
        </w:rPr>
        <w:t xml:space="preserve">Euler Number Eu = Delta_p / (0.5 * rho * V^2): </w:t>
      </w:r>
      <w:r>
        <w:rPr>
          <w:rFonts w:ascii="Times New Roman" w:hAnsi="Times New Roman"/>
          <w:b w:val="0"/>
          <w:i w:val="0"/>
          <w:sz w:val="22"/>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is a huge Eu number normal in ALD — and not a problem?</w:t>
              <w:br/>
            </w:r>
            <w:r>
              <w:rPr>
                <w:rFonts w:ascii="Times New Roman" w:hAnsi="Times New Roman"/>
                <w:b w:val="0"/>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pPr>
        <w:spacing w:after="120"/>
      </w:pPr>
    </w:p>
    <w:p>
      <w:pPr>
        <w:spacing w:before="240" w:after="80"/>
      </w:pPr>
      <w:r>
        <w:rPr>
          <w:rFonts w:ascii="Times New Roman" w:hAnsi="Times New Roman"/>
          <w:b/>
          <w:i w:val="0"/>
          <w:color w:val="0064A0"/>
          <w:sz w:val="22"/>
        </w:rPr>
        <w:t>4.1b Mass Transfer and ALD Kinetics (Tier 1)</w:t>
      </w:r>
    </w:p>
    <w:p>
      <w:pPr>
        <w:pStyle w:val="ListBullet"/>
        <w:spacing w:after="60"/>
        <w:jc w:val="both"/>
      </w:pPr>
      <w:r>
        <w:rPr>
          <w:rFonts w:ascii="Times New Roman" w:hAnsi="Times New Roman"/>
          <w:b/>
          <w:i w:val="0"/>
          <w:sz w:val="22"/>
        </w:rPr>
        <w:t xml:space="preserve">Schmidt Number Sc = mu / (rho * D_m): </w:t>
      </w:r>
      <w:r>
        <w:rPr>
          <w:rFonts w:ascii="Times New Roman" w:hAnsi="Times New Roman"/>
          <w:b w:val="0"/>
          <w:i w:val="0"/>
          <w:sz w:val="22"/>
        </w:rPr>
        <w:t>[DESIGN CONSTRAINT] ratio of momentum to mass diffusivity. D_m [m^2/s] = TMA diffusivity in N2. Sc ≈ 1–3 for TMA/N2. Flags incorrect D_m specification.</w:t>
      </w:r>
    </w:p>
    <w:p>
      <w:pPr>
        <w:pStyle w:val="ListBullet"/>
        <w:spacing w:after="60"/>
        <w:jc w:val="both"/>
      </w:pPr>
      <w:r>
        <w:rPr>
          <w:rFonts w:ascii="Times New Roman" w:hAnsi="Times New Roman"/>
          <w:b/>
          <w:i w:val="0"/>
          <w:sz w:val="22"/>
        </w:rPr>
        <w:t xml:space="preserve">Peclet Number (mass) Pe_m = Re * Sc: </w:t>
      </w:r>
      <w:r>
        <w:rPr>
          <w:rFonts w:ascii="Times New Roman" w:hAnsi="Times New Roman"/>
          <w:b w:val="0"/>
          <w:i w:val="0"/>
          <w:sz w:val="22"/>
        </w:rPr>
        <w:t>[DESIGN CONSTRAINT] advection-to-diffusion ratio for mass transport. ALD operates at Pe_m ≈ 0.1–10 (diffusion-important). High Pe_m: convection dominates, uneven jets cannot be corrected by diffusion.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 Peclet numbers tell us — advection vs diffusion?</w:t>
              <w:br/>
            </w:r>
            <w:r>
              <w:rPr>
                <w:rFonts w:ascii="Times New Roman" w:hAnsi="Times New Roman"/>
                <w:b w:val="0"/>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pPr>
        <w:spacing w:after="120"/>
      </w:pPr>
    </w:p>
    <w:p>
      <w:pPr>
        <w:pStyle w:val="ListBullet"/>
        <w:spacing w:after="60"/>
        <w:jc w:val="both"/>
      </w:pPr>
      <w:r>
        <w:rPr>
          <w:rFonts w:ascii="Times New Roman" w:hAnsi="Times New Roman"/>
          <w:b/>
          <w:i w:val="0"/>
          <w:sz w:val="22"/>
        </w:rPr>
        <w:t xml:space="preserve">Damkohler Number Da = k_rxn * L / V: </w:t>
      </w:r>
      <w:r>
        <w:rPr>
          <w:rFonts w:ascii="Times New Roman" w:hAnsi="Times New Roman"/>
          <w:b w:val="0"/>
          <w:i w:val="0"/>
          <w:sz w:val="22"/>
        </w:rPr>
        <w:t>ratio of surface reaction rate k_rxn [m/s] to convective transport V/L [1/s]. Da &lt;&lt; 1: reaction-limited — the ideal ALD self-limiting regime. Da &gt;&gt; 1: transport-limited — precursor depletes before spreading uniformly. Guard: Da in [0.001, 100].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does Da matter so much for ALD uniformity?</w:t>
              <w:br/>
            </w:r>
            <w:r>
              <w:rPr>
                <w:rFonts w:ascii="Times New Roman" w:hAnsi="Times New Roman"/>
                <w:b w:val="0"/>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pPr>
        <w:spacing w:after="120"/>
      </w:pPr>
    </w:p>
    <w:p>
      <w:pPr>
        <w:spacing w:before="240" w:after="80"/>
      </w:pPr>
      <w:r>
        <w:rPr>
          <w:rFonts w:ascii="Times New Roman" w:hAnsi="Times New Roman"/>
          <w:b/>
          <w:i w:val="0"/>
          <w:color w:val="005082"/>
          <w:sz w:val="24"/>
        </w:rPr>
        <w:t>4.2 Tier 2 — Physical Consistency Validators</w:t>
      </w:r>
    </w:p>
    <w:p>
      <w:pPr>
        <w:spacing w:after="120"/>
        <w:jc w:val="both"/>
      </w:pPr>
      <w:r>
        <w:rPr>
          <w:rFonts w:ascii="Times New Roman" w:hAnsi="Times New Roman"/>
          <w:b w:val="0"/>
          <w:i w:val="0"/>
          <w:sz w:val="22"/>
        </w:rPr>
        <w:t xml:space="preserve">The following five numbers are checked after surrogate prediction. Violation does not block inference but flags the design for </w:t>
      </w:r>
      <w:r>
        <w:rPr>
          <w:rFonts w:ascii="Times New Roman" w:hAnsi="Times New Roman"/>
          <w:b w:val="0"/>
          <w:i w:val="0"/>
          <w:sz w:val="22"/>
        </w:rPr>
        <w:t>CFD</w:t>
      </w:r>
      <w:r>
        <w:rPr>
          <w:rFonts w:ascii="Times New Roman" w:hAnsi="Times New Roman"/>
          <w:b w:val="0"/>
          <w:i w:val="0"/>
          <w:sz w:val="22"/>
        </w:rPr>
        <w:t xml:space="preserve"> refinement. Three of these (</w:t>
      </w:r>
      <w:r>
        <w:rPr>
          <w:rFonts w:ascii="Times New Roman" w:hAnsi="Times New Roman"/>
          <w:b w:val="0"/>
          <w:i w:val="0"/>
          <w:sz w:val="22"/>
        </w:rPr>
        <w:t>Nu</w:t>
      </w:r>
      <w:r>
        <w:rPr>
          <w:rFonts w:ascii="Times New Roman" w:hAnsi="Times New Roman"/>
          <w:b w:val="0"/>
          <w:i w:val="0"/>
          <w:sz w:val="22"/>
        </w:rPr>
        <w:t xml:space="preserve">, </w:t>
      </w:r>
      <w:r>
        <w:rPr>
          <w:rFonts w:ascii="Times New Roman" w:hAnsi="Times New Roman"/>
          <w:b w:val="0"/>
          <w:i w:val="0"/>
          <w:sz w:val="22"/>
        </w:rPr>
        <w:t>Bi</w:t>
      </w:r>
      <w:r>
        <w:rPr>
          <w:rFonts w:ascii="Times New Roman" w:hAnsi="Times New Roman"/>
          <w:b w:val="0"/>
          <w:i w:val="0"/>
          <w:sz w:val="22"/>
        </w:rPr>
        <w:t xml:space="preserve">, </w:t>
      </w:r>
      <w:r>
        <w:rPr>
          <w:rFonts w:ascii="Times New Roman" w:hAnsi="Times New Roman"/>
          <w:b w:val="0"/>
          <w:i w:val="0"/>
          <w:sz w:val="22"/>
        </w:rPr>
        <w:t>Sh</w:t>
      </w:r>
      <w:r>
        <w:rPr>
          <w:rFonts w:ascii="Times New Roman" w:hAnsi="Times New Roman"/>
          <w:b w:val="0"/>
          <w:i w:val="0"/>
          <w:sz w:val="22"/>
        </w:rPr>
        <w:t xml:space="preserve">) are results of the </w:t>
      </w:r>
      <w:r>
        <w:rPr>
          <w:rFonts w:ascii="Times New Roman" w:hAnsi="Times New Roman"/>
          <w:b w:val="0"/>
          <w:i w:val="0"/>
          <w:sz w:val="22"/>
        </w:rPr>
        <w:t>CFD</w:t>
      </w:r>
      <w:r>
        <w:rPr>
          <w:rFonts w:ascii="Times New Roman" w:hAnsi="Times New Roman"/>
          <w:b w:val="0"/>
          <w:i w:val="0"/>
          <w:sz w:val="22"/>
        </w:rPr>
        <w:t xml:space="preserve"> simulation, not quantities computable before solving — they validate the physical consistency of the surrogate's predictions against literature correlations.</w:t>
      </w:r>
    </w:p>
    <w:p>
      <w:pPr>
        <w:pStyle w:val="ListBullet"/>
        <w:spacing w:after="60"/>
        <w:jc w:val="both"/>
      </w:pPr>
      <w:r>
        <w:rPr>
          <w:rFonts w:ascii="Times New Roman" w:hAnsi="Times New Roman"/>
          <w:b/>
          <w:i w:val="0"/>
          <w:sz w:val="22"/>
        </w:rPr>
        <w:t xml:space="preserve">Prandtl Number Pr = cp*mu / k  [Tier 2]: </w:t>
      </w:r>
      <w:r>
        <w:rPr>
          <w:rFonts w:ascii="Times New Roman" w:hAnsi="Times New Roman"/>
          <w:b w:val="0"/>
          <w:i w:val="0"/>
          <w:sz w:val="22"/>
        </w:rPr>
        <w:t>ratio of momentum to thermal diffusivity. Pr ≈ 0.71 for N2 at 393 K — essentially fixed for a given carrier gas. Acts as a fluid-property consistency check; rarely violated in practice.</w:t>
      </w:r>
    </w:p>
    <w:p>
      <w:pPr>
        <w:pStyle w:val="ListBullet"/>
        <w:spacing w:after="60"/>
        <w:jc w:val="both"/>
      </w:pPr>
      <w:r>
        <w:rPr>
          <w:rFonts w:ascii="Times New Roman" w:hAnsi="Times New Roman"/>
          <w:b/>
          <w:i w:val="0"/>
          <w:sz w:val="22"/>
        </w:rPr>
        <w:t xml:space="preserve">Peclet Number (heat) Pe_h = Re*Pr  [Tier 2]: </w:t>
      </w:r>
      <w:r>
        <w:rPr>
          <w:rFonts w:ascii="Times New Roman" w:hAnsi="Times New Roman"/>
          <w:b w:val="0"/>
          <w:i w:val="0"/>
          <w:sz w:val="22"/>
        </w:rPr>
        <w:t>derived from Re and Pr — not an independent number. Validates that the advection-diffusion balance for heat is consistent with the training distribution.</w:t>
      </w:r>
    </w:p>
    <w:p>
      <w:pPr>
        <w:pStyle w:val="ListBullet"/>
        <w:spacing w:after="60"/>
        <w:jc w:val="both"/>
      </w:pPr>
      <w:r>
        <w:rPr>
          <w:rFonts w:ascii="Times New Roman" w:hAnsi="Times New Roman"/>
          <w:b/>
          <w:i w:val="0"/>
          <w:sz w:val="22"/>
        </w:rPr>
        <w:t xml:space="preserve">Nusselt Number Nu = h*L / k  [Tier 2]: </w:t>
      </w:r>
      <w:r>
        <w:rPr>
          <w:rFonts w:ascii="Times New Roman" w:hAnsi="Times New Roman"/>
          <w:b w:val="0"/>
          <w:i w:val="0"/>
          <w:sz w:val="22"/>
        </w:rPr>
        <w:t>ratio of convective to conductive heat transfer. Computed from the Martin (1977) jet-impingement correlation: Nu = 0.5 * Re^0.5 * Pr^0.42. Important note: at ALD's creeping-flow regime (Re ~ 1-10), Nu ~ 0.5-0.8 is physically correct and expected — it indicates conduction-dominated heat transfer, which is desirable for ALD (uniform faceplate temperature). Nu &lt; 1 does NOT indicate a problem; it is the normal ALD operating regime. Allowable range: [0.1, 100].</w:t>
      </w:r>
    </w:p>
    <w:p>
      <w:pPr>
        <w:pStyle w:val="ListBullet"/>
        <w:spacing w:after="60"/>
        <w:jc w:val="both"/>
      </w:pPr>
      <w:r>
        <w:rPr>
          <w:rFonts w:ascii="Times New Roman" w:hAnsi="Times New Roman"/>
          <w:b/>
          <w:i w:val="0"/>
          <w:sz w:val="22"/>
        </w:rPr>
        <w:t xml:space="preserve">Biot Number Bi = h*L / k_s  [Tier 2]: </w:t>
      </w:r>
      <w:r>
        <w:rPr>
          <w:rFonts w:ascii="Times New Roman" w:hAnsi="Times New Roman"/>
          <w:b w:val="0"/>
          <w:i w:val="0"/>
          <w:sz w:val="22"/>
        </w:rPr>
        <w:t>ratio of surface convection to faceplate internal conduction. k_s = 16 W/(m.K) for stainless steel 316 faceplate (default). h is derived from the computed Nu. Bi &lt;&lt; 1 validates the uniform wall temperature boundary condition. Allowable range: [0.001, 0.1].</w:t>
      </w:r>
    </w:p>
    <w:p>
      <w:pPr>
        <w:pStyle w:val="ListBullet"/>
        <w:spacing w:after="60"/>
        <w:jc w:val="both"/>
      </w:pPr>
      <w:r>
        <w:rPr>
          <w:rFonts w:ascii="Times New Roman" w:hAnsi="Times New Roman"/>
          <w:b/>
          <w:i w:val="0"/>
          <w:sz w:val="22"/>
        </w:rPr>
        <w:t xml:space="preserve">Sherwood Number Sh = k_m*L / D_m  [Tier 2]: </w:t>
      </w:r>
      <w:r>
        <w:rPr>
          <w:rFonts w:ascii="Times New Roman" w:hAnsi="Times New Roman"/>
          <w:b w:val="0"/>
          <w:i w:val="0"/>
          <w:sz w:val="22"/>
        </w:rPr>
        <w:t>mass-transfer analogue of Nusselt, computed via the Chilton-Colburn analogy: Sh = Nu * (Sc/Pr)^(1/3). Similarly, Sh &lt; 1 at low Re indicates diffusion-dominated precursor transport — physically correct and favourable for ALD uniformity since diffusion spreads the precursor uniformly regardless of jet placement. Allowable range: [0.1, 50].</w:t>
      </w:r>
    </w:p>
    <w:p>
      <w:pPr>
        <w:spacing w:before="240" w:after="80"/>
      </w:pPr>
      <w:r>
        <w:rPr>
          <w:rFonts w:ascii="Times New Roman" w:hAnsi="Times New Roman"/>
          <w:b/>
          <w:i w:val="0"/>
          <w:color w:val="003366"/>
          <w:sz w:val="28"/>
        </w:rPr>
        <w:t>5. Track 1 — Physics-Constrained Geometric Morphogenesis (PCGM)</w:t>
      </w:r>
    </w:p>
    <w:p>
      <w:pPr>
        <w:spacing w:before="240" w:after="80"/>
      </w:pPr>
      <w:r>
        <w:rPr>
          <w:rFonts w:ascii="Times New Roman" w:hAnsi="Times New Roman"/>
          <w:b/>
          <w:i w:val="0"/>
          <w:color w:val="005082"/>
          <w:sz w:val="24"/>
        </w:rPr>
        <w:t>5.1 Dataset Generation</w:t>
      </w:r>
    </w:p>
    <w:p>
      <w:pPr>
        <w:spacing w:after="120"/>
        <w:jc w:val="both"/>
      </w:pPr>
      <w:r>
        <w:rPr>
          <w:rFonts w:ascii="Times New Roman" w:hAnsi="Times New Roman"/>
          <w:b w:val="0"/>
          <w:i w:val="0"/>
          <w:sz w:val="22"/>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w:t>
      </w:r>
      <w:r>
        <w:rPr>
          <w:rFonts w:ascii="Times New Roman" w:hAnsi="Times New Roman"/>
          <w:b w:val="0"/>
          <w:i w:val="0"/>
          <w:sz w:val="22"/>
        </w:rPr>
        <w:t>Re</w:t>
      </w:r>
      <w:r>
        <w:rPr>
          <w:rFonts w:ascii="Times New Roman" w:hAnsi="Times New Roman"/>
          <w:b w:val="0"/>
          <w:i w:val="0"/>
          <w:sz w:val="22"/>
        </w:rPr>
        <w:t xml:space="preserve"> &lt; 2300) or k-omega Shear Stress Transport (</w:t>
      </w:r>
      <w:r>
        <w:rPr>
          <w:rFonts w:ascii="Times New Roman" w:hAnsi="Times New Roman"/>
          <w:b/>
          <w:i w:val="0"/>
          <w:sz w:val="22"/>
        </w:rPr>
        <w:t>SST</w:t>
      </w:r>
      <w:r>
        <w:rPr>
          <w:rFonts w:ascii="Times New Roman" w:hAnsi="Times New Roman"/>
          <w:b w:val="0"/>
          <w:i w:val="0"/>
          <w:sz w:val="22"/>
        </w:rPr>
        <w:t>) (</w:t>
      </w:r>
      <w:r>
        <w:rPr>
          <w:rFonts w:ascii="Times New Roman" w:hAnsi="Times New Roman"/>
          <w:b w:val="0"/>
          <w:i w:val="0"/>
          <w:sz w:val="22"/>
        </w:rPr>
        <w:t>Re</w:t>
      </w:r>
      <w:r>
        <w:rPr>
          <w:rFonts w:ascii="Times New Roman" w:hAnsi="Times New Roman"/>
          <w:b w:val="0"/>
          <w:i w:val="0"/>
          <w:sz w:val="22"/>
        </w:rPr>
        <w:t xml:space="preserve"> &gt;= 2300). Each simulation ran in 6–10 minutes in a Docker container (opencfd/openfoam-default v2512), 4 cases in parallel.</w:t>
      </w:r>
    </w:p>
    <w:p>
      <w:pPr>
        <w:spacing w:after="120"/>
        <w:jc w:val="both"/>
      </w:pPr>
      <w:r>
        <w:rPr>
          <w:rFonts w:ascii="Times New Roman" w:hAnsi="Times New Roman"/>
          <w:b w:val="0"/>
          <w:i w:val="0"/>
          <w:sz w:val="22"/>
        </w:rPr>
        <w:t xml:space="preserve">The </w:t>
      </w:r>
      <w:r>
        <w:rPr>
          <w:rFonts w:ascii="Times New Roman" w:hAnsi="Times New Roman"/>
          <w:b w:val="0"/>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is defined as:</w:t>
      </w:r>
    </w:p>
    <w:p>
      <w:pPr>
        <w:spacing w:before="80" w:after="40"/>
        <w:jc w:val="center"/>
      </w:pPr>
      <w:r>
        <w:rPr>
          <w:rFonts w:ascii="Courier New" w:hAnsi="Courier New"/>
          <w:b w:val="0"/>
          <w:i/>
          <w:sz w:val="20"/>
        </w:rPr>
        <w:t>TMA-UI  =  1  −  std(TMA_wafer) / mean(TMA_wafer)     ∈ (−∞, 1]</w:t>
      </w:r>
    </w:p>
    <w:p>
      <w:pPr>
        <w:spacing w:before="40" w:after="120"/>
        <w:ind w:left="567"/>
      </w:pPr>
      <w:r>
        <w:rPr>
          <w:rFonts w:ascii="Times New Roman" w:hAnsi="Times New Roman"/>
          <w:b/>
          <w:i w:val="0"/>
          <w:sz w:val="20"/>
        </w:rPr>
        <w:t xml:space="preserve">Where:  </w:t>
      </w:r>
      <w:r>
        <w:rPr>
          <w:rFonts w:ascii="Times New Roman" w:hAnsi="Times New Roman"/>
          <w:b w:val="0"/>
          <w:i/>
          <w:sz w:val="20"/>
        </w:rPr>
        <w:t>std = standard deviation of TMA mass fraction at wafer-adjacent cells;  mean = mean TMA mass fraction;  value of 1 = perfect uniformity;  negative = standard deviation exceeds mean (highly non-uniform).</w:t>
      </w:r>
    </w:p>
    <w:p>
      <w:pPr>
        <w:spacing w:after="120"/>
        <w:jc w:val="both"/>
      </w:pPr>
      <w:r>
        <w:rPr>
          <w:rFonts w:ascii="Times New Roman" w:hAnsi="Times New Roman"/>
          <w:b w:val="0"/>
          <w:i w:val="0"/>
          <w:sz w:val="22"/>
        </w:rPr>
        <w:t xml:space="preserve">Track 1 </w:t>
      </w:r>
      <w:r>
        <w:rPr>
          <w:rFonts w:ascii="Times New Roman" w:hAnsi="Times New Roman"/>
          <w:b w:val="0"/>
          <w:i w:val="0"/>
          <w:sz w:val="22"/>
        </w:rPr>
        <w:t>TMA</w:t>
      </w:r>
      <w:r>
        <w:rPr>
          <w:rFonts w:ascii="Times New Roman" w:hAnsi="Times New Roman"/>
          <w:b w:val="0"/>
          <w:i w:val="0"/>
          <w:sz w:val="22"/>
        </w:rPr>
        <w:t>-UI range: 0.34 to 0.59 (mean 0.50, standard deviation 0.11).</w:t>
      </w:r>
    </w:p>
    <w:p>
      <w:pPr>
        <w:spacing w:before="240" w:after="80"/>
      </w:pPr>
      <w:r>
        <w:rPr>
          <w:rFonts w:ascii="Times New Roman" w:hAnsi="Times New Roman"/>
          <w:b/>
          <w:i w:val="0"/>
          <w:color w:val="005082"/>
          <w:sz w:val="24"/>
        </w:rPr>
        <w:t>5.2 MultiHeadMGN Architecture</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follows MeshGraphNet [6] with three modifications: independent decoder heads per physics domain; LayerNorm after each hidden layer; species head loss weighted 50× to prioritise </w:t>
      </w:r>
      <w:r>
        <w:rPr>
          <w:rFonts w:ascii="Times New Roman" w:hAnsi="Times New Roman"/>
          <w:b w:val="0"/>
          <w:i w:val="0"/>
          <w:sz w:val="22"/>
        </w:rPr>
        <w:t>TMA</w:t>
      </w:r>
      <w:r>
        <w:rPr>
          <w:rFonts w:ascii="Times New Roman" w:hAnsi="Times New Roman"/>
          <w:b w:val="0"/>
          <w:i w:val="0"/>
          <w:sz w:val="22"/>
        </w:rPr>
        <w:t xml:space="preserve"> learning.</w:t>
      </w:r>
    </w:p>
    <w:p>
      <w:pPr>
        <w:pStyle w:val="ListBullet"/>
        <w:spacing w:after="60"/>
        <w:jc w:val="both"/>
      </w:pPr>
      <w:r>
        <w:rPr>
          <w:rFonts w:ascii="Times New Roman" w:hAnsi="Times New Roman"/>
          <w:b/>
          <w:i w:val="0"/>
          <w:sz w:val="22"/>
        </w:rPr>
        <w:t xml:space="preserve">Input features [22]: </w:t>
      </w:r>
      <w:r>
        <w:rPr>
          <w:rFonts w:ascii="Times New Roman" w:hAnsi="Times New Roman"/>
          <w:b w:val="0"/>
          <w:i w:val="0"/>
          <w:sz w:val="22"/>
        </w:rPr>
        <w:t>4 local node features (boundary condition type one-hot) + 18 global physics features (Re, Da, Pr, Sc, Pe_h, Pe_m, Eu, Ma, nozzle geometry ratios, thermal velocity, beta).</w:t>
      </w:r>
    </w:p>
    <w:p>
      <w:pPr>
        <w:pStyle w:val="ListBullet"/>
        <w:spacing w:after="60"/>
        <w:jc w:val="both"/>
      </w:pPr>
      <w:r>
        <w:rPr>
          <w:rFonts w:ascii="Times New Roman" w:hAnsi="Times New Roman"/>
          <w:b/>
          <w:i w:val="0"/>
          <w:sz w:val="22"/>
        </w:rPr>
        <w:t xml:space="preserve">Edge features [4]: </w:t>
      </w:r>
      <w:r>
        <w:rPr>
          <w:rFonts w:ascii="Times New Roman" w:hAnsi="Times New Roman"/>
          <w:b w:val="0"/>
          <w:i w:val="0"/>
          <w:sz w:val="22"/>
        </w:rPr>
        <w:t>relative position (dx/d_med, dy/d_med, dz/d_med) and distance (dist/d_med), normalised by median edge length d_med.</w:t>
      </w:r>
    </w:p>
    <w:p>
      <w:pPr>
        <w:pStyle w:val="ListBullet"/>
        <w:spacing w:after="60"/>
        <w:jc w:val="both"/>
      </w:pPr>
      <w:r>
        <w:rPr>
          <w:rFonts w:ascii="Times New Roman" w:hAnsi="Times New Roman"/>
          <w:b/>
          <w:i w:val="0"/>
          <w:sz w:val="22"/>
        </w:rPr>
        <w:t xml:space="preserve">Message passing: </w:t>
      </w:r>
      <w:r>
        <w:rPr>
          <w:rFonts w:ascii="Times New Roman" w:hAnsi="Times New Roman"/>
          <w:b w:val="0"/>
          <w:i w:val="0"/>
          <w:sz w:val="22"/>
        </w:rPr>
        <w:t>15 MGNProcessor layers. Each layer: edge update = MLP(concat(node_i, node_j, edge)) + residual; node update = MLP(concat(node, sum(edges))) + residual.</w:t>
      </w:r>
    </w:p>
    <w:p>
      <w:pPr>
        <w:pStyle w:val="ListBullet"/>
        <w:spacing w:after="60"/>
        <w:jc w:val="both"/>
      </w:pPr>
      <w:r>
        <w:rPr>
          <w:rFonts w:ascii="Times New Roman" w:hAnsi="Times New Roman"/>
          <w:b/>
          <w:i w:val="0"/>
          <w:sz w:val="22"/>
        </w:rPr>
        <w:t xml:space="preserve">Decoders: </w:t>
      </w:r>
      <w:r>
        <w:rPr>
          <w:rFonts w:ascii="Times New Roman" w:hAnsi="Times New Roman"/>
          <w:b w:val="0"/>
          <w:i w:val="0"/>
          <w:sz w:val="22"/>
        </w:rPr>
        <w:t>Flow: 256 → [Ux, Uy, Uz, p]. Heat: 256 → [T]. Species: 256 → [TMA]. Total: 7.07M parameters.</w:t>
      </w:r>
    </w:p>
    <w:p>
      <w:pPr>
        <w:spacing w:after="120"/>
        <w:jc w:val="both"/>
      </w:pPr>
      <w:r>
        <w:rPr>
          <w:rFonts w:ascii="Times New Roman" w:hAnsi="Times New Roman"/>
          <w:b w:val="0"/>
          <w:i w:val="0"/>
          <w:sz w:val="22"/>
        </w:rPr>
        <w:t xml:space="preserve">Training: AdamW (lr = 3×10^-4, weight decay = 10^-4), cosine annealing, 200 epochs, Google Colab A100 </w:t>
      </w:r>
      <w:r>
        <w:rPr>
          <w:rFonts w:ascii="Times New Roman" w:hAnsi="Times New Roman"/>
          <w:b/>
          <w:i w:val="0"/>
          <w:sz w:val="22"/>
        </w:rPr>
        <w:t>GPU</w:t>
      </w:r>
      <w:r>
        <w:rPr>
          <w:rFonts w:ascii="Times New Roman" w:hAnsi="Times New Roman"/>
          <w:b w:val="0"/>
          <w:i w:val="0"/>
          <w:sz w:val="22"/>
        </w:rPr>
        <w:t xml:space="preserve"> (~2 hours). k-NN graphs (k=6) pre-cached to </w:t>
      </w:r>
      <w:r>
        <w:rPr>
          <w:rFonts w:ascii="Times New Roman" w:hAnsi="Times New Roman"/>
          <w:b w:val="0"/>
          <w:i w:val="0"/>
          <w:sz w:val="22"/>
        </w:rPr>
        <w:t>GPU</w:t>
      </w:r>
      <w:r>
        <w:rPr>
          <w:rFonts w:ascii="Times New Roman" w:hAnsi="Times New Roman"/>
          <w:b w:val="0"/>
          <w:i w:val="0"/>
          <w:sz w:val="22"/>
        </w:rPr>
        <w:t>. Split: 90% train / 10% val, seed = 42.</w:t>
      </w:r>
    </w:p>
    <w:p>
      <w:pPr>
        <w:spacing w:before="240" w:after="80"/>
      </w:pPr>
      <w:r>
        <w:rPr>
          <w:rFonts w:ascii="Times New Roman" w:hAnsi="Times New Roman"/>
          <w:b/>
          <w:i w:val="0"/>
          <w:color w:val="005082"/>
          <w:sz w:val="24"/>
        </w:rPr>
        <w:t>5.3 Multi-Fidelity KPI Surrogate</w:t>
      </w:r>
    </w:p>
    <w:p>
      <w:pPr>
        <w:spacing w:after="120"/>
        <w:jc w:val="both"/>
      </w:pPr>
      <w:r>
        <w:rPr>
          <w:rFonts w:ascii="Times New Roman" w:hAnsi="Times New Roman"/>
          <w:b w:val="0"/>
          <w:i w:val="0"/>
          <w:sz w:val="22"/>
        </w:rPr>
        <w:t>TMA</w:t>
      </w:r>
      <w:r>
        <w:rPr>
          <w:rFonts w:ascii="Times New Roman" w:hAnsi="Times New Roman"/>
          <w:b w:val="0"/>
          <w:i w:val="0"/>
          <w:sz w:val="22"/>
        </w:rPr>
        <w:t xml:space="preserve"> spatial gradients at the wafer surface exist only in a ~0.1 mm boundary layer, unresolvable at the current ~1 mm mesh cell size. We address this with a complementary multi-fidelity </w:t>
      </w:r>
      <w:r>
        <w:rPr>
          <w:rFonts w:ascii="Times New Roman" w:hAnsi="Times New Roman"/>
          <w:b w:val="0"/>
          <w:i w:val="0"/>
          <w:sz w:val="22"/>
        </w:rPr>
        <w:t>KPI</w:t>
      </w:r>
      <w:r>
        <w:rPr>
          <w:rFonts w:ascii="Times New Roman" w:hAnsi="Times New Roman"/>
          <w:b w:val="0"/>
          <w:i w:val="0"/>
          <w:sz w:val="22"/>
        </w:rPr>
        <w:t xml:space="preserve"> surrogate trained on design-level features:</w:t>
      </w:r>
    </w:p>
    <w:p>
      <w:pPr>
        <w:pStyle w:val="ListBullet"/>
        <w:spacing w:after="60"/>
        <w:jc w:val="both"/>
      </w:pPr>
      <w:r>
        <w:rPr>
          <w:rFonts w:ascii="Times New Roman" w:hAnsi="Times New Roman"/>
          <w:b/>
          <w:i w:val="0"/>
          <w:sz w:val="22"/>
        </w:rPr>
        <w:t xml:space="preserve">Global physics features [18]: </w:t>
      </w:r>
      <w:r>
        <w:rPr>
          <w:rFonts w:ascii="Times New Roman" w:hAnsi="Times New Roman"/>
          <w:b w:val="0"/>
          <w:i w:val="0"/>
          <w:sz w:val="22"/>
        </w:rPr>
        <w:t>Re, Ma, Eu, Pr, Sc, Pe_h, Pe_m, Da, nozzle diameter, pitch/D, plenum height, faceplate thickness, standoff, and derived geometric ratios.</w:t>
      </w:r>
    </w:p>
    <w:p>
      <w:pPr>
        <w:pStyle w:val="ListBullet"/>
        <w:spacing w:after="60"/>
        <w:jc w:val="both"/>
      </w:pPr>
      <w:r>
        <w:rPr>
          <w:rFonts w:ascii="Times New Roman" w:hAnsi="Times New Roman"/>
          <w:b/>
          <w:i w:val="0"/>
          <w:sz w:val="22"/>
        </w:rPr>
        <w:t xml:space="preserve">Wafer-plane CFD statistics [9]: </w:t>
      </w:r>
      <w:r>
        <w:rPr>
          <w:rFonts w:ascii="Times New Roman" w:hAnsi="Times New Roman"/>
          <w:b w:val="0"/>
          <w:i w:val="0"/>
          <w:sz w:val="22"/>
        </w:rPr>
        <w:t>mean and standard deviation of Uz (vertical velocity), p (pressure), T (temperature), TMA concentration at wafer-plane cells, plus Uz-UI.</w:t>
      </w:r>
    </w:p>
    <w:p>
      <w:pPr>
        <w:spacing w:after="120"/>
        <w:jc w:val="both"/>
      </w:pPr>
      <w:r>
        <w:rPr>
          <w:rFonts w:ascii="Times New Roman" w:hAnsi="Times New Roman"/>
          <w:b w:val="0"/>
          <w:i w:val="0"/>
          <w:sz w:val="22"/>
        </w:rPr>
        <w:t>5-fold cross-validation results on all 120 cases:</w:t>
      </w:r>
    </w:p>
    <w:p>
      <w:pPr>
        <w:spacing w:before="80" w:after="40"/>
        <w:jc w:val="center"/>
      </w:pPr>
      <w:r>
        <w:rPr>
          <w:rFonts w:ascii="Courier New" w:hAnsi="Courier New"/>
          <w:b w:val="0"/>
          <w:i/>
          <w:sz w:val="20"/>
        </w:rPr>
        <w:t>OOF R²  = 0.985       OOF Spearman ρ  = 0.947      (n = 120,  p &lt; 10⁻¹⁴)</w:t>
      </w:r>
    </w:p>
    <w:p>
      <w:pPr>
        <w:spacing w:before="40" w:after="120"/>
        <w:ind w:left="567"/>
      </w:pPr>
      <w:r>
        <w:rPr>
          <w:rFonts w:ascii="Times New Roman" w:hAnsi="Times New Roman"/>
          <w:b/>
          <w:i w:val="0"/>
          <w:sz w:val="20"/>
        </w:rPr>
        <w:t xml:space="preserve">Where:  </w:t>
      </w:r>
      <w:r>
        <w:rPr>
          <w:rFonts w:ascii="Times New Roman" w:hAnsi="Times New Roman"/>
          <w:b w:val="0"/>
          <w:i/>
          <w:sz w:val="20"/>
        </w:rPr>
        <w:t>OOF = out-of-fold (each case predicted by a model that never saw it);  R² = coefficient of determination;  ρ = Spearman rank correlation (1.0 = perfect ranking).</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The multi-fidelity KPI surrogate (OOF ρ = 0.947) correctly ranks 95% of design pairs by TMA uniformity — sufficient for the optimizer to reliably identify high-performing designs across the combined Track 1 + Track 2 space.</w:t>
            </w:r>
          </w:p>
        </w:tc>
      </w:tr>
    </w:tbl>
    <w:p>
      <w:pPr>
        <w:spacing w:after="120"/>
      </w:pPr>
    </w:p>
    <w:p>
      <w:pPr>
        <w:spacing w:before="240" w:after="80"/>
      </w:pPr>
      <w:r>
        <w:rPr>
          <w:rFonts w:ascii="Times New Roman" w:hAnsi="Times New Roman"/>
          <w:b/>
          <w:i w:val="0"/>
          <w:color w:val="003366"/>
          <w:sz w:val="28"/>
        </w:rPr>
        <w:t>6. Track 2 — Voxel-Implicit Computational Engineering Synthesis (VICES)</w:t>
      </w:r>
    </w:p>
    <w:p>
      <w:pPr>
        <w:spacing w:before="240" w:after="80"/>
      </w:pPr>
      <w:r>
        <w:rPr>
          <w:rFonts w:ascii="Times New Roman" w:hAnsi="Times New Roman"/>
          <w:b/>
          <w:i w:val="0"/>
          <w:color w:val="005082"/>
          <w:sz w:val="24"/>
        </w:rPr>
        <w:t>6.1 SDF Primitives and CSG Boolean Operations</w:t>
      </w:r>
    </w:p>
    <w:p>
      <w:pPr>
        <w:spacing w:after="120"/>
        <w:jc w:val="both"/>
      </w:pPr>
      <w:r>
        <w:rPr>
          <w:rFonts w:ascii="Times New Roman" w:hAnsi="Times New Roman"/>
          <w:b w:val="0"/>
          <w:i w:val="0"/>
          <w:sz w:val="22"/>
        </w:rPr>
        <w:t>VICES</w:t>
      </w:r>
      <w:r>
        <w:rPr>
          <w:rFonts w:ascii="Times New Roman" w:hAnsi="Times New Roman"/>
          <w:b w:val="0"/>
          <w:i w:val="0"/>
          <w:sz w:val="22"/>
        </w:rPr>
        <w:t xml:space="preserve"> builds geometry from four primitive </w:t>
      </w:r>
      <w:r>
        <w:rPr>
          <w:rFonts w:ascii="Times New Roman" w:hAnsi="Times New Roman"/>
          <w:b w:val="0"/>
          <w:i w:val="0"/>
          <w:sz w:val="22"/>
        </w:rPr>
        <w:t>SDF</w:t>
      </w:r>
      <w:r>
        <w:rPr>
          <w:rFonts w:ascii="Times New Roman" w:hAnsi="Times New Roman"/>
          <w:b w:val="0"/>
          <w:i w:val="0"/>
          <w:sz w:val="22"/>
        </w:rPr>
        <w:t xml:space="preserve"> types (Cylinder, Box, Cone, Sphere). As an example, the cylinder </w:t>
      </w:r>
      <w:r>
        <w:rPr>
          <w:rFonts w:ascii="Times New Roman" w:hAnsi="Times New Roman"/>
          <w:b w:val="0"/>
          <w:i w:val="0"/>
          <w:sz w:val="22"/>
        </w:rPr>
        <w:t>SDF</w:t>
      </w:r>
      <w:r>
        <w:rPr>
          <w:rFonts w:ascii="Times New Roman" w:hAnsi="Times New Roman"/>
          <w:b w:val="0"/>
          <w:i w:val="0"/>
          <w:sz w:val="22"/>
        </w:rPr>
        <w:t xml:space="preserve"> centred at (cx, cy, cz) with radius r and height h is:</w:t>
      </w:r>
    </w:p>
    <w:p>
      <w:pPr>
        <w:spacing w:before="80" w:after="40"/>
        <w:jc w:val="center"/>
      </w:pPr>
      <w:r>
        <w:rPr>
          <w:rFonts w:ascii="Courier New" w:hAnsi="Courier New"/>
          <w:b w:val="0"/>
          <w:i/>
          <w:sz w:val="20"/>
        </w:rPr>
        <w:t>f_cyl(x,y,z)  =  max( √((x−cx)²+(y−cy)²) − r,   |z−cz| − h/2 )</w:t>
      </w:r>
    </w:p>
    <w:p>
      <w:pPr>
        <w:spacing w:before="40" w:after="120"/>
        <w:ind w:left="567"/>
      </w:pPr>
      <w:r>
        <w:rPr>
          <w:rFonts w:ascii="Times New Roman" w:hAnsi="Times New Roman"/>
          <w:b/>
          <w:i w:val="0"/>
          <w:sz w:val="20"/>
        </w:rPr>
        <w:t xml:space="preserve">Where:  </w:t>
      </w:r>
      <w:r>
        <w:rPr>
          <w:rFonts w:ascii="Times New Roman" w:hAnsi="Times New Roman"/>
          <w:b w:val="0"/>
          <w:i/>
          <w:sz w:val="20"/>
        </w:rPr>
        <w:t>(cx, cy, cz) = cylinder centre coordinates [m];  r = cylinder radius [m];  h = cylinder height [m];  positive value = point is outside the solid;  negative value = point is inside the solid;  zero = point lies exactly on the surface.</w:t>
      </w:r>
    </w:p>
    <w:p>
      <w:pPr>
        <w:spacing w:after="120"/>
        <w:jc w:val="both"/>
      </w:pPr>
      <w:r>
        <w:rPr>
          <w:rFonts w:ascii="Times New Roman" w:hAnsi="Times New Roman"/>
          <w:b w:val="0"/>
          <w:i w:val="0"/>
          <w:sz w:val="22"/>
        </w:rPr>
        <w:t>Boolean operations on SDFs reduce to elementwise arithmetic:</w:t>
      </w:r>
    </w:p>
    <w:p>
      <w:pPr>
        <w:spacing w:before="80" w:after="40"/>
        <w:jc w:val="center"/>
      </w:pPr>
      <w:r>
        <w:rPr>
          <w:rFonts w:ascii="Courier New" w:hAnsi="Courier New"/>
          <w:b w:val="0"/>
          <w:i/>
          <w:sz w:val="20"/>
        </w:rPr>
        <w:t>Union(A, B)      →  f = min(f_A, f_B)    [inside either shape]</w:t>
      </w:r>
    </w:p>
    <w:p>
      <w:pPr>
        <w:spacing w:before="80" w:after="40"/>
        <w:jc w:val="center"/>
      </w:pPr>
      <w:r>
        <w:rPr>
          <w:rFonts w:ascii="Courier New" w:hAnsi="Courier New"/>
          <w:b w:val="0"/>
          <w:i/>
          <w:sz w:val="20"/>
        </w:rPr>
        <w:t>Subtract(A, B)   →  f = max(f_A, −f_B)   [A minus B]</w:t>
      </w:r>
    </w:p>
    <w:p>
      <w:pPr>
        <w:spacing w:before="80" w:after="40"/>
        <w:jc w:val="center"/>
      </w:pPr>
      <w:r>
        <w:rPr>
          <w:rFonts w:ascii="Courier New" w:hAnsi="Courier New"/>
          <w:b w:val="0"/>
          <w:i/>
          <w:sz w:val="20"/>
        </w:rPr>
        <w:t>Intersect(A, B)  →  f = max(f_A, f_B)    [inside both shapes]</w:t>
      </w:r>
    </w:p>
    <w:p>
      <w:pPr>
        <w:spacing w:before="40" w:after="120"/>
        <w:ind w:left="567"/>
      </w:pPr>
      <w:r>
        <w:rPr>
          <w:rFonts w:ascii="Times New Roman" w:hAnsi="Times New Roman"/>
          <w:b/>
          <w:i w:val="0"/>
          <w:sz w:val="20"/>
        </w:rPr>
        <w:t xml:space="preserve">Where:  </w:t>
      </w:r>
      <w:r>
        <w:rPr>
          <w:rFonts w:ascii="Times New Roman" w:hAnsi="Times New Roman"/>
          <w:b w:val="0"/>
          <w:i/>
          <w:sz w:val="20"/>
        </w:rPr>
        <w:t>f_A, f_B = SDF values for shapes A and B evaluated at the same point;  min selects the nearer surface (union);  max(f_A, −f_B) flips the inside/outside sense of B before intersection.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an SDF actually look like — and why is it so useful?</w:t>
              <w:br/>
            </w:r>
            <w:r>
              <w:rPr>
                <w:rFonts w:ascii="Times New Roman" w:hAnsi="Times New Roman"/>
                <w:b w:val="0"/>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pPr>
        <w:spacing w:after="120"/>
      </w:pPr>
    </w:p>
    <w:p>
      <w:pPr>
        <w:spacing w:before="240" w:after="80"/>
      </w:pPr>
      <w:r>
        <w:rPr>
          <w:rFonts w:ascii="Times New Roman" w:hAnsi="Times New Roman"/>
          <w:b/>
          <w:i w:val="0"/>
          <w:color w:val="005082"/>
          <w:sz w:val="24"/>
        </w:rPr>
        <w:t>6.2 Catalan Number Design Space Characterisation</w:t>
      </w:r>
    </w:p>
    <w:p>
      <w:pPr>
        <w:spacing w:after="120"/>
        <w:jc w:val="both"/>
      </w:pPr>
      <w:r>
        <w:rPr>
          <w:rFonts w:ascii="Times New Roman" w:hAnsi="Times New Roman"/>
          <w:b w:val="0"/>
          <w:i w:val="0"/>
          <w:sz w:val="22"/>
        </w:rPr>
        <w:t xml:space="preserve">A </w:t>
      </w:r>
      <w:r>
        <w:rPr>
          <w:rFonts w:ascii="Times New Roman" w:hAnsi="Times New Roman"/>
          <w:b w:val="0"/>
          <w:i w:val="0"/>
          <w:sz w:val="22"/>
        </w:rPr>
        <w:t>CSG</w:t>
      </w:r>
      <w:r>
        <w:rPr>
          <w:rFonts w:ascii="Times New Roman" w:hAnsi="Times New Roman"/>
          <w:b w:val="0"/>
          <w:i w:val="0"/>
          <w:sz w:val="22"/>
        </w:rPr>
        <w:t xml:space="preserve"> tree is a binary tree where internal nodes are boolean operations and leaf nodes are primitives. For n primitives, the number of distinct binary tree topologies is the (n−1)-th Catalan number:</w:t>
      </w:r>
    </w:p>
    <w:p>
      <w:pPr>
        <w:spacing w:before="80" w:after="40"/>
        <w:jc w:val="center"/>
      </w:pPr>
      <w:r>
        <w:rPr>
          <w:rFonts w:ascii="Courier New" w:hAnsi="Courier New"/>
          <w:b w:val="0"/>
          <w:i/>
          <w:sz w:val="20"/>
        </w:rPr>
        <w:t>C(n) = C(2n, n) / (n+1)  =  1, 1, 2, 5, 14, 42, 132, 429, ...</w:t>
      </w:r>
    </w:p>
    <w:p>
      <w:pPr>
        <w:spacing w:before="40" w:after="120"/>
        <w:ind w:left="567"/>
      </w:pPr>
      <w:r>
        <w:rPr>
          <w:rFonts w:ascii="Times New Roman" w:hAnsi="Times New Roman"/>
          <w:b/>
          <w:i w:val="0"/>
          <w:sz w:val="20"/>
        </w:rPr>
        <w:t xml:space="preserve">Where:  </w:t>
      </w:r>
      <w:r>
        <w:rPr>
          <w:rFonts w:ascii="Times New Roman" w:hAnsi="Times New Roman"/>
          <w:b w:val="0"/>
          <w:i/>
          <w:sz w:val="20"/>
        </w:rPr>
        <w:t>C(2n, n) = binomial coefficient "2n choose n";  n+1 = normalisation factor;  first few values correspond to n = 0, 1, 2, 3, 4, 5, 6, 7 primitives.</w:t>
      </w:r>
    </w:p>
    <w:p>
      <w:pPr>
        <w:spacing w:after="120"/>
        <w:jc w:val="both"/>
      </w:pPr>
      <w:r>
        <w:rPr>
          <w:rFonts w:ascii="Times New Roman" w:hAnsi="Times New Roman"/>
          <w:b w:val="0"/>
          <w:i w:val="0"/>
          <w:sz w:val="22"/>
        </w:rPr>
        <w:t xml:space="preserve">With 3 operation types per node, the full </w:t>
      </w:r>
      <w:r>
        <w:rPr>
          <w:rFonts w:ascii="Times New Roman" w:hAnsi="Times New Roman"/>
          <w:b w:val="0"/>
          <w:i w:val="0"/>
          <w:sz w:val="22"/>
        </w:rPr>
        <w:t>CSG</w:t>
      </w:r>
      <w:r>
        <w:rPr>
          <w:rFonts w:ascii="Times New Roman" w:hAnsi="Times New Roman"/>
          <w:b w:val="0"/>
          <w:i w:val="0"/>
          <w:sz w:val="22"/>
        </w:rPr>
        <w:t xml:space="preserve"> expression count for n primitives is C(n−1) × 3^(n−1). For 6 primitives: C(5) = 42 topologies × 3^5 = 243 assignments = 10,206 distinct </w:t>
      </w:r>
      <w:r>
        <w:rPr>
          <w:rFonts w:ascii="Times New Roman" w:hAnsi="Times New Roman"/>
          <w:b w:val="0"/>
          <w:i w:val="0"/>
          <w:sz w:val="22"/>
        </w:rPr>
        <w:t>CSG</w:t>
      </w:r>
      <w:r>
        <w:rPr>
          <w:rFonts w:ascii="Times New Roman" w:hAnsi="Times New Roman"/>
          <w:b w:val="0"/>
          <w:i w:val="0"/>
          <w:sz w:val="22"/>
        </w:rPr>
        <w:t xml:space="preserve"> expressions before varying any dimension.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 Catalan numbers matter for showerhead design?</w:t>
              <w:br/>
            </w:r>
            <w:r>
              <w:rPr>
                <w:rFonts w:ascii="Times New Roman" w:hAnsi="Times New Roman"/>
                <w:b w:val="0"/>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pPr>
        <w:spacing w:after="120"/>
      </w:pPr>
    </w:p>
    <w:p>
      <w:pPr>
        <w:spacing w:before="240" w:after="80"/>
      </w:pPr>
      <w:r>
        <w:rPr>
          <w:rFonts w:ascii="Times New Roman" w:hAnsi="Times New Roman"/>
          <w:b/>
          <w:i w:val="0"/>
          <w:color w:val="005082"/>
          <w:sz w:val="24"/>
        </w:rPr>
        <w:t>6.3 Marching Cubes Triangulation</w:t>
      </w:r>
    </w:p>
    <w:p>
      <w:pPr>
        <w:spacing w:after="120"/>
        <w:jc w:val="both"/>
      </w:pPr>
      <w:r>
        <w:rPr>
          <w:rFonts w:ascii="Times New Roman" w:hAnsi="Times New Roman"/>
          <w:b w:val="0"/>
          <w:i w:val="0"/>
          <w:sz w:val="22"/>
        </w:rPr>
        <w:t xml:space="preserve">The </w:t>
      </w:r>
      <w:r>
        <w:rPr>
          <w:rFonts w:ascii="Times New Roman" w:hAnsi="Times New Roman"/>
          <w:b w:val="0"/>
          <w:i w:val="0"/>
          <w:sz w:val="22"/>
        </w:rPr>
        <w:t>CSG</w:t>
      </w:r>
      <w:r>
        <w:rPr>
          <w:rFonts w:ascii="Times New Roman" w:hAnsi="Times New Roman"/>
          <w:b w:val="0"/>
          <w:i w:val="0"/>
          <w:sz w:val="22"/>
        </w:rPr>
        <w:t xml:space="preserve"> tree is evaluated on a 64^3 voxel grid. Marching Cubes [10] processes each 2×2×2 cube of voxels: 8 binary inside/outside corners give 256 configurations, reducing to 15 unique surface topologies by symmetry. A precomputed lookup table places triangles on voxel edges where the </w:t>
      </w:r>
      <w:r>
        <w:rPr>
          <w:rFonts w:ascii="Times New Roman" w:hAnsi="Times New Roman"/>
          <w:b w:val="0"/>
          <w:i w:val="0"/>
          <w:sz w:val="22"/>
        </w:rPr>
        <w:t>SDF</w:t>
      </w:r>
      <w:r>
        <w:rPr>
          <w:rFonts w:ascii="Times New Roman" w:hAnsi="Times New Roman"/>
          <w:b w:val="0"/>
          <w:i w:val="0"/>
          <w:sz w:val="22"/>
        </w:rPr>
        <w:t xml:space="preserve">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pPr>
        <w:spacing w:before="240" w:after="80"/>
      </w:pPr>
      <w:r>
        <w:rPr>
          <w:rFonts w:ascii="Times New Roman" w:hAnsi="Times New Roman"/>
          <w:b/>
          <w:i w:val="0"/>
          <w:color w:val="005082"/>
          <w:sz w:val="24"/>
        </w:rPr>
        <w:t>6.4 Topology Families</w:t>
      </w:r>
    </w:p>
    <w:p>
      <w:pPr>
        <w:pStyle w:val="ListBullet"/>
        <w:spacing w:after="60"/>
        <w:jc w:val="both"/>
      </w:pPr>
      <w:r>
        <w:rPr>
          <w:rFonts w:ascii="Times New Roman" w:hAnsi="Times New Roman"/>
          <w:b/>
          <w:i w:val="0"/>
          <w:sz w:val="22"/>
        </w:rPr>
        <w:t xml:space="preserve">Type A — Baffled Plenum: </w:t>
      </w:r>
      <w:r>
        <w:rPr>
          <w:rFonts w:ascii="Times New Roman" w:hAnsi="Times New Roman"/>
          <w:b w:val="0"/>
          <w:i w:val="0"/>
          <w:sz w:val="22"/>
        </w:rPr>
        <w:t>annular baffle (cylinder minus central hole) subtracted from plenum body forces radial gas redistribution. CSG: Subtract(Subtract(Plenum, BaffleAnnulus), NozzleUnion). Parameter: baffle_frac (z-position as fraction of plenum height, 0.2–0.8).</w:t>
      </w:r>
    </w:p>
    <w:p>
      <w:pPr>
        <w:pStyle w:val="ListBullet"/>
        <w:spacing w:after="60"/>
        <w:jc w:val="both"/>
      </w:pPr>
      <w:r>
        <w:rPr>
          <w:rFonts w:ascii="Times New Roman" w:hAnsi="Times New Roman"/>
          <w:b/>
          <w:i w:val="0"/>
          <w:sz w:val="22"/>
        </w:rPr>
        <w:t xml:space="preserve">Type B — Conical Diffuser: </w:t>
      </w:r>
      <w:r>
        <w:rPr>
          <w:rFonts w:ascii="Times New Roman" w:hAnsi="Times New Roman"/>
          <w:b w:val="0"/>
          <w:i w:val="0"/>
          <w:sz w:val="22"/>
        </w:rPr>
        <w:t>cone protruding from inlet deflects gas jet radially. CSG: Subtract(Subtract(Plenum, Cone), NozzleUnion). Parameter: cone_r_frac (cone base radius fraction, 0.2–0.6).</w:t>
      </w:r>
    </w:p>
    <w:p>
      <w:pPr>
        <w:pStyle w:val="ListBullet"/>
        <w:spacing w:after="60"/>
        <w:jc w:val="both"/>
      </w:pPr>
      <w:r>
        <w:rPr>
          <w:rFonts w:ascii="Times New Roman" w:hAnsi="Times New Roman"/>
          <w:b/>
          <w:i w:val="0"/>
          <w:sz w:val="22"/>
        </w:rPr>
        <w:t xml:space="preserve">Type C — Annular Ring Nozzles: </w:t>
      </w:r>
      <w:r>
        <w:rPr>
          <w:rFonts w:ascii="Times New Roman" w:hAnsi="Times New Roman"/>
          <w:b w:val="0"/>
          <w:i w:val="0"/>
          <w:sz w:val="22"/>
        </w:rPr>
        <w:t>nozzles in concentric equally-spaced rings instead of hex packing. CSG: Subtract(Plenum, Union(Ring_0, Ring_1, ...)). Parameter: n_rings (2–5).</w:t>
      </w:r>
    </w:p>
    <w:p>
      <w:pPr>
        <w:pStyle w:val="ListBullet"/>
        <w:spacing w:after="60"/>
        <w:jc w:val="both"/>
      </w:pPr>
      <w:r>
        <w:rPr>
          <w:rFonts w:ascii="Times New Roman" w:hAnsi="Times New Roman"/>
          <w:b/>
          <w:i w:val="0"/>
          <w:sz w:val="22"/>
        </w:rPr>
        <w:t xml:space="preserve">Type D — Two-Zone Plenum: </w:t>
      </w:r>
      <w:r>
        <w:rPr>
          <w:rFonts w:ascii="Times New Roman" w:hAnsi="Times New Roman"/>
          <w:b w:val="0"/>
          <w:i w:val="0"/>
          <w:sz w:val="22"/>
        </w:rPr>
        <w:t>annular divider ring separates plenum into inner and outer flow zones. CSG: Subtract(Subtract(Plenum, DividerRing), NozzleUnion). Parameter: divider_r_frac (inner radius fraction, 0.3–0.65).</w:t>
      </w:r>
    </w:p>
    <w:p>
      <w:pPr>
        <w:spacing w:before="240" w:after="80"/>
      </w:pPr>
      <w:r>
        <w:rPr>
          <w:rFonts w:ascii="Times New Roman" w:hAnsi="Times New Roman"/>
          <w:b/>
          <w:i w:val="0"/>
          <w:color w:val="005082"/>
          <w:sz w:val="24"/>
        </w:rPr>
        <w:t>6.5 OpenFOAM CFD Integration</w:t>
      </w:r>
    </w:p>
    <w:p>
      <w:pPr>
        <w:spacing w:after="120"/>
        <w:jc w:val="both"/>
      </w:pPr>
      <w:r>
        <w:rPr>
          <w:rFonts w:ascii="Times New Roman" w:hAnsi="Times New Roman"/>
          <w:b w:val="0"/>
          <w:i w:val="0"/>
          <w:sz w:val="22"/>
        </w:rPr>
        <w:t xml:space="preserve">40 Track 2 </w:t>
      </w:r>
      <w:r>
        <w:rPr>
          <w:rFonts w:ascii="Times New Roman" w:hAnsi="Times New Roman"/>
          <w:b w:val="0"/>
          <w:i w:val="0"/>
          <w:sz w:val="22"/>
        </w:rPr>
        <w:t>CFD</w:t>
      </w:r>
      <w:r>
        <w:rPr>
          <w:rFonts w:ascii="Times New Roman" w:hAnsi="Times New Roman"/>
          <w:b w:val="0"/>
          <w:i w:val="0"/>
          <w:sz w:val="22"/>
        </w:rPr>
        <w:t xml:space="preserve"> cases were generated — 9 per topology type plus 4 special variants. Three key integration decisions: (1) wall-only STL export (inlet opening and nozzle exits excluded, handled by blockMesh patches); (2) blockMesh extended below z = 0 to include standoff region, with locationInMesh in standoff so blockMesh inlet/outlet patches survive snappyHexMesh; (3) </w:t>
      </w:r>
      <w:r>
        <w:rPr>
          <w:rFonts w:ascii="Times New Roman" w:hAnsi="Times New Roman"/>
          <w:b w:val="0"/>
          <w:i w:val="0"/>
          <w:sz w:val="22"/>
        </w:rPr>
        <w:t>TMA</w:t>
      </w:r>
      <w:r>
        <w:rPr>
          <w:rFonts w:ascii="Times New Roman" w:hAnsi="Times New Roman"/>
          <w:b w:val="0"/>
          <w:i w:val="0"/>
          <w:sz w:val="22"/>
        </w:rPr>
        <w:t xml:space="preserve"> evaluated at peak-</w:t>
      </w:r>
      <w:r>
        <w:rPr>
          <w:rFonts w:ascii="Times New Roman" w:hAnsi="Times New Roman"/>
          <w:b w:val="0"/>
          <w:i w:val="0"/>
          <w:sz w:val="22"/>
        </w:rPr>
        <w:t>TMA</w:t>
      </w:r>
      <w:r>
        <w:rPr>
          <w:rFonts w:ascii="Times New Roman" w:hAnsi="Times New Roman"/>
          <w:b w:val="0"/>
          <w:i w:val="0"/>
          <w:sz w:val="22"/>
        </w:rPr>
        <w:t xml:space="preserve"> timestep (t ≈ 0.10 s, end of precursor pulse) rather than final timestep (t = 0.24 s, purge phase, </w:t>
      </w:r>
      <w:r>
        <w:rPr>
          <w:rFonts w:ascii="Times New Roman" w:hAnsi="Times New Roman"/>
          <w:b w:val="0"/>
          <w:i w:val="0"/>
          <w:sz w:val="22"/>
        </w:rPr>
        <w:t>TMA</w:t>
      </w:r>
      <w:r>
        <w:rPr>
          <w:rFonts w:ascii="Times New Roman" w:hAnsi="Times New Roman"/>
          <w:b w:val="0"/>
          <w:i w:val="0"/>
          <w:sz w:val="22"/>
        </w:rPr>
        <w:t xml:space="preserve"> ≈ 0). Track 2 </w:t>
      </w:r>
      <w:r>
        <w:rPr>
          <w:rFonts w:ascii="Times New Roman" w:hAnsi="Times New Roman"/>
          <w:b w:val="0"/>
          <w:i w:val="0"/>
          <w:sz w:val="22"/>
        </w:rPr>
        <w:t>TMA</w:t>
      </w:r>
      <w:r>
        <w:rPr>
          <w:rFonts w:ascii="Times New Roman" w:hAnsi="Times New Roman"/>
          <w:b w:val="0"/>
          <w:i w:val="0"/>
          <w:sz w:val="22"/>
        </w:rPr>
        <w:t>-UI range: 0.00–0.86 (mean 0.41, 28/40 cases non-zero).</w:t>
      </w:r>
    </w:p>
    <w:p>
      <w:pPr>
        <w:spacing w:before="240" w:after="80"/>
      </w:pPr>
      <w:r>
        <w:rPr>
          <w:rFonts w:ascii="Times New Roman" w:hAnsi="Times New Roman"/>
          <w:b/>
          <w:i w:val="0"/>
          <w:color w:val="003366"/>
          <w:sz w:val="28"/>
        </w:rPr>
        <w:t>7. Results and Discussion</w:t>
      </w:r>
    </w:p>
    <w:p>
      <w:pPr>
        <w:spacing w:before="240" w:after="80"/>
      </w:pPr>
      <w:r>
        <w:rPr>
          <w:rFonts w:ascii="Times New Roman" w:hAnsi="Times New Roman"/>
          <w:b/>
          <w:i w:val="0"/>
          <w:color w:val="005082"/>
          <w:sz w:val="24"/>
        </w:rPr>
        <w:t>7.1 Track 2 Topology Optimizer Results</w:t>
      </w:r>
    </w:p>
    <w:p>
      <w:pPr>
        <w:spacing w:after="120"/>
        <w:jc w:val="both"/>
      </w:pPr>
      <w:r>
        <w:rPr>
          <w:rFonts w:ascii="Times New Roman" w:hAnsi="Times New Roman"/>
          <w:b w:val="0"/>
          <w:i w:val="0"/>
          <w:sz w:val="22"/>
        </w:rPr>
        <w:t xml:space="preserve">We compare two search strategies for Track 2 topology optimisation, both using the same </w:t>
      </w:r>
      <w:r>
        <w:rPr>
          <w:rFonts w:ascii="Times New Roman" w:hAnsi="Times New Roman"/>
          <w:b w:val="0"/>
          <w:i w:val="0"/>
          <w:sz w:val="22"/>
        </w:rPr>
        <w:t>KPI</w:t>
      </w:r>
      <w:r>
        <w:rPr>
          <w:rFonts w:ascii="Times New Roman" w:hAnsi="Times New Roman"/>
          <w:b w:val="0"/>
          <w:i w:val="0"/>
          <w:sz w:val="22"/>
        </w:rPr>
        <w:t xml:space="preserve"> surrogate ensemble (</w:t>
      </w:r>
      <w:r>
        <w:rPr>
          <w:rFonts w:ascii="Times New Roman" w:hAnsi="Times New Roman"/>
          <w:b w:val="0"/>
          <w:i w:val="0"/>
          <w:sz w:val="22"/>
        </w:rPr>
        <w:t>OOF</w:t>
      </w:r>
      <w:r>
        <w:rPr>
          <w:rFonts w:ascii="Times New Roman" w:hAnsi="Times New Roman"/>
          <w:b w:val="0"/>
          <w:i w:val="0"/>
          <w:sz w:val="22"/>
        </w:rPr>
        <w:t xml:space="preserve"> ρ = 0.947):</w:t>
      </w:r>
    </w:p>
    <w:p>
      <w:pPr>
        <w:pStyle w:val="ListBullet"/>
        <w:spacing w:after="60"/>
        <w:jc w:val="both"/>
      </w:pPr>
      <w:r>
        <w:rPr>
          <w:rFonts w:ascii="Times New Roman" w:hAnsi="Times New Roman"/>
          <w:b/>
          <w:i w:val="0"/>
          <w:sz w:val="22"/>
        </w:rPr>
        <w:t xml:space="preserve">Random search: </w:t>
      </w:r>
      <w:r>
        <w:rPr>
          <w:rFonts w:ascii="Times New Roman" w:hAnsi="Times New Roman"/>
          <w:b w:val="0"/>
          <w:i w:val="0"/>
          <w:sz w:val="22"/>
        </w:rPr>
        <w:t>1,200 candidates uniformly sampled across four topology types. Best TMA-UI = 0.895 (Type C — annular rings).</w:t>
      </w:r>
    </w:p>
    <w:p>
      <w:pPr>
        <w:pStyle w:val="ListBullet"/>
        <w:spacing w:after="60"/>
        <w:jc w:val="both"/>
      </w:pPr>
      <w:r>
        <w:rPr>
          <w:rFonts w:ascii="Times New Roman" w:hAnsi="Times New Roman"/>
          <w:b/>
          <w:i w:val="0"/>
          <w:sz w:val="22"/>
        </w:rPr>
        <w:t xml:space="preserve">Genetic Algorithm (GA): </w:t>
      </w:r>
      <w:r>
        <w:rPr>
          <w:rFonts w:ascii="Times New Roman" w:hAnsi="Times New Roman"/>
          <w:b w:val="0"/>
          <w:i w:val="0"/>
          <w:sz w:val="22"/>
        </w:rPr>
        <w:t>chromosome [topology_type, D, Q, H, pitch/D, extra_param]; 40 population × 50 generations = 2,000 evaluations; tournament selection (k=3), uniform crossover, Gaussian mutation, elitism (top 2 preserved). Best TMA-UI = 0.971 (Type A — baffled plenum). GA improvement over random: +0.076 (+8.5%).</w:t>
      </w:r>
    </w:p>
    <w:p>
      <w:pPr>
        <w:spacing w:after="120"/>
        <w:jc w:val="both"/>
      </w:pPr>
      <w:r>
        <w:rPr>
          <w:rFonts w:ascii="Times New Roman" w:hAnsi="Times New Roman"/>
          <w:b w:val="0"/>
          <w:i w:val="0"/>
          <w:sz w:val="22"/>
        </w:rPr>
        <w:t xml:space="preserve">Figure 2 shows the </w:t>
      </w:r>
      <w:r>
        <w:rPr>
          <w:rFonts w:ascii="Times New Roman" w:hAnsi="Times New Roman"/>
          <w:b/>
          <w:i w:val="0"/>
          <w:sz w:val="22"/>
        </w:rPr>
        <w:t>GA</w:t>
      </w:r>
      <w:r>
        <w:rPr>
          <w:rFonts w:ascii="Times New Roman" w:hAnsi="Times New Roman"/>
          <w:b w:val="0"/>
          <w:i w:val="0"/>
          <w:sz w:val="22"/>
        </w:rPr>
        <w:t xml:space="preserve"> convergence curve, Pareto front comparison, and best-per-type bar chart. The </w:t>
      </w:r>
      <w:r>
        <w:rPr>
          <w:rFonts w:ascii="Times New Roman" w:hAnsi="Times New Roman"/>
          <w:b w:val="0"/>
          <w:i w:val="0"/>
          <w:sz w:val="22"/>
        </w:rPr>
        <w:t>GA</w:t>
      </w:r>
      <w:r>
        <w:rPr>
          <w:rFonts w:ascii="Times New Roman" w:hAnsi="Times New Roman"/>
          <w:b w:val="0"/>
          <w:i w:val="0"/>
          <w:sz w:val="22"/>
        </w:rPr>
        <w:t xml:space="preserve"> consistently outperforms random search across all topology types, demonstrating that guided, Catalan-aware topology search extracts further value from the same surrogate model without any additional </w:t>
      </w:r>
      <w:r>
        <w:rPr>
          <w:rFonts w:ascii="Times New Roman" w:hAnsi="Times New Roman"/>
          <w:b w:val="0"/>
          <w:i w:val="0"/>
          <w:sz w:val="22"/>
        </w:rPr>
        <w:t>CFD</w:t>
      </w:r>
      <w:r>
        <w:rPr>
          <w:rFonts w:ascii="Times New Roman" w:hAnsi="Times New Roman"/>
          <w:b w:val="0"/>
          <w:i w:val="0"/>
          <w:sz w:val="22"/>
        </w:rPr>
        <w:t xml:space="preserve"> simulations.</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is the key question here — and does our result answer it?</w:t>
              <w:br/>
            </w:r>
            <w:r>
              <w:rPr>
                <w:rFonts w:ascii="Times New Roman" w:hAnsi="Times New Roman"/>
                <w:b w:val="0"/>
                <w:i/>
                <w:color w:val="2C3E50"/>
                <w:sz w:val="20"/>
              </w:rPr>
              <w:t>"The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space unreachable by any hex-array parameter combination, no matter how many sliders you move."</w:t>
            </w:r>
          </w:p>
        </w:tc>
      </w:tr>
    </w:tbl>
    <w:p>
      <w:pPr>
        <w:spacing w:after="120"/>
      </w:pPr>
    </w:p>
    <w:p>
      <w:pPr>
        <w:jc w:val="center"/>
      </w:pPr>
      <w:r>
        <w:drawing>
          <wp:inline xmlns:a="http://schemas.openxmlformats.org/drawingml/2006/main" xmlns:pic="http://schemas.openxmlformats.org/drawingml/2006/picture">
            <wp:extent cx="5486400" cy="1702993"/>
            <wp:docPr id="2" name="Picture 2"/>
            <wp:cNvGraphicFramePr>
              <a:graphicFrameLocks noChangeAspect="1"/>
            </wp:cNvGraphicFramePr>
            <a:graphic>
              <a:graphicData uri="http://schemas.openxmlformats.org/drawingml/2006/picture">
                <pic:pic>
                  <pic:nvPicPr>
                    <pic:cNvPr id="0" name="track2_ga_comparison.png"/>
                    <pic:cNvPicPr/>
                  </pic:nvPicPr>
                  <pic:blipFill>
                    <a:blip r:embed="rId10"/>
                    <a:stretch>
                      <a:fillRect/>
                    </a:stretch>
                  </pic:blipFill>
                  <pic:spPr>
                    <a:xfrm>
                      <a:off x="0" y="0"/>
                      <a:ext cx="5486400" cy="1702993"/>
                    </a:xfrm>
                    <a:prstGeom prst="rect"/>
                  </pic:spPr>
                </pic:pic>
              </a:graphicData>
            </a:graphic>
          </wp:inline>
        </w:drawing>
      </w:r>
    </w:p>
    <w:p>
      <w:pPr>
        <w:spacing w:before="60" w:after="240"/>
        <w:jc w:val="center"/>
      </w:pPr>
      <w:r>
        <w:rPr>
          <w:rFonts w:ascii="Times New Roman" w:hAnsi="Times New Roman"/>
          <w:b w:val="0"/>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pPr>
        <w:spacing w:after="120"/>
        <w:jc w:val="both"/>
      </w:pPr>
      <w:r>
        <w:rPr>
          <w:rFonts w:ascii="Times New Roman" w:hAnsi="Times New Roman"/>
          <w:b w:val="0"/>
          <w:i w:val="0"/>
          <w:sz w:val="22"/>
        </w:rPr>
        <w:t>Best design per topology type (Table 1):</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r>
              <w:rPr>
                <w:b/>
                <w:sz w:val="18"/>
              </w:rPr>
              <w:t>Geometry Type</w:t>
            </w:r>
          </w:p>
        </w:tc>
        <w:tc>
          <w:tcPr>
            <w:tcW w:type="dxa" w:w="1768"/>
          </w:tcPr>
          <w:p>
            <w:r>
              <w:rPr>
                <w:b/>
                <w:sz w:val="18"/>
              </w:rPr>
              <w:t>Best TMA-UI</w:t>
            </w:r>
          </w:p>
        </w:tc>
        <w:tc>
          <w:tcPr>
            <w:tcW w:type="dxa" w:w="1768"/>
          </w:tcPr>
          <w:p>
            <w:r>
              <w:rPr>
                <w:b/>
                <w:sz w:val="18"/>
              </w:rPr>
              <w:t>D [mm]</w:t>
            </w:r>
          </w:p>
        </w:tc>
        <w:tc>
          <w:tcPr>
            <w:tcW w:type="dxa" w:w="1768"/>
          </w:tcPr>
          <w:p>
            <w:r>
              <w:rPr>
                <w:b/>
                <w:sz w:val="18"/>
              </w:rPr>
              <w:t>Q [slm]</w:t>
            </w:r>
          </w:p>
        </w:tc>
        <w:tc>
          <w:tcPr>
            <w:tcW w:type="dxa" w:w="1768"/>
          </w:tcPr>
          <w:p>
            <w:r>
              <w:rPr>
                <w:b/>
                <w:sz w:val="18"/>
              </w:rPr>
              <w:t>Re</w:t>
            </w:r>
          </w:p>
        </w:tc>
      </w:tr>
      <w:tr>
        <w:tc>
          <w:tcPr>
            <w:tcW w:type="dxa" w:w="1768"/>
          </w:tcPr>
          <w:p>
            <w:r>
              <w:rPr>
                <w:sz w:val="18"/>
              </w:rPr>
              <w:t>Track 1 — Hex array (baseline)</w:t>
            </w:r>
          </w:p>
        </w:tc>
        <w:tc>
          <w:tcPr>
            <w:tcW w:type="dxa" w:w="1768"/>
          </w:tcPr>
          <w:p>
            <w:r>
              <w:rPr>
                <w:sz w:val="18"/>
              </w:rPr>
              <w:t>0.344</w:t>
            </w:r>
          </w:p>
        </w:tc>
        <w:tc>
          <w:tcPr>
            <w:tcW w:type="dxa" w:w="1768"/>
          </w:tcPr>
          <w:p>
            <w:r>
              <w:rPr>
                <w:sz w:val="18"/>
              </w:rPr>
              <w:t>2.9</w:t>
            </w:r>
          </w:p>
        </w:tc>
        <w:tc>
          <w:tcPr>
            <w:tcW w:type="dxa" w:w="1768"/>
          </w:tcPr>
          <w:p>
            <w:r>
              <w:rPr>
                <w:sz w:val="18"/>
              </w:rPr>
              <w:t>0.6</w:t>
            </w:r>
          </w:p>
        </w:tc>
        <w:tc>
          <w:tcPr>
            <w:tcW w:type="dxa" w:w="1768"/>
          </w:tcPr>
          <w:p>
            <w:r>
              <w:rPr>
                <w:sz w:val="18"/>
              </w:rPr>
              <w:t>3</w:t>
            </w:r>
          </w:p>
        </w:tc>
      </w:tr>
      <w:tr>
        <w:tc>
          <w:tcPr>
            <w:tcW w:type="dxa" w:w="1768"/>
          </w:tcPr>
          <w:p>
            <w:r>
              <w:rPr>
                <w:sz w:val="18"/>
              </w:rPr>
              <w:t>T2 Type A — Baffled  (random)</w:t>
            </w:r>
          </w:p>
        </w:tc>
        <w:tc>
          <w:tcPr>
            <w:tcW w:type="dxa" w:w="1768"/>
          </w:tcPr>
          <w:p>
            <w:r>
              <w:rPr>
                <w:b/>
                <w:sz w:val="18"/>
              </w:rPr>
              <w:t>0.774</w:t>
            </w:r>
          </w:p>
        </w:tc>
        <w:tc>
          <w:tcPr>
            <w:tcW w:type="dxa" w:w="1768"/>
          </w:tcPr>
          <w:p>
            <w:r>
              <w:rPr>
                <w:sz w:val="18"/>
              </w:rPr>
              <w:t>2.5</w:t>
            </w:r>
          </w:p>
        </w:tc>
        <w:tc>
          <w:tcPr>
            <w:tcW w:type="dxa" w:w="1768"/>
          </w:tcPr>
          <w:p>
            <w:r>
              <w:rPr>
                <w:sz w:val="18"/>
              </w:rPr>
              <w:t>0.8</w:t>
            </w:r>
          </w:p>
        </w:tc>
        <w:tc>
          <w:tcPr>
            <w:tcW w:type="dxa" w:w="1768"/>
          </w:tcPr>
          <w:p>
            <w:r>
              <w:rPr>
                <w:sz w:val="18"/>
              </w:rPr>
              <w:t>3</w:t>
            </w:r>
          </w:p>
        </w:tc>
      </w:tr>
      <w:tr>
        <w:tc>
          <w:tcPr>
            <w:tcW w:type="dxa" w:w="1768"/>
          </w:tcPr>
          <w:p>
            <w:r>
              <w:rPr>
                <w:sz w:val="18"/>
              </w:rPr>
              <w:t>T2 Type B — Conical  (random)</w:t>
            </w:r>
          </w:p>
        </w:tc>
        <w:tc>
          <w:tcPr>
            <w:tcW w:type="dxa" w:w="1768"/>
          </w:tcPr>
          <w:p>
            <w:r>
              <w:rPr>
                <w:b/>
                <w:sz w:val="18"/>
              </w:rPr>
              <w:t>0.739</w:t>
            </w:r>
          </w:p>
        </w:tc>
        <w:tc>
          <w:tcPr>
            <w:tcW w:type="dxa" w:w="1768"/>
          </w:tcPr>
          <w:p>
            <w:r>
              <w:rPr>
                <w:sz w:val="18"/>
              </w:rPr>
              <w:t>2.3</w:t>
            </w:r>
          </w:p>
        </w:tc>
        <w:tc>
          <w:tcPr>
            <w:tcW w:type="dxa" w:w="1768"/>
          </w:tcPr>
          <w:p>
            <w:r>
              <w:rPr>
                <w:sz w:val="18"/>
              </w:rPr>
              <w:t>0.6</w:t>
            </w:r>
          </w:p>
        </w:tc>
        <w:tc>
          <w:tcPr>
            <w:tcW w:type="dxa" w:w="1768"/>
          </w:tcPr>
          <w:p>
            <w:r>
              <w:rPr>
                <w:sz w:val="18"/>
              </w:rPr>
              <w:t>3</w:t>
            </w:r>
          </w:p>
        </w:tc>
      </w:tr>
      <w:tr>
        <w:tc>
          <w:tcPr>
            <w:tcW w:type="dxa" w:w="1768"/>
          </w:tcPr>
          <w:p>
            <w:r>
              <w:rPr>
                <w:sz w:val="18"/>
              </w:rPr>
              <w:t>T2 Type C — Annular  (random)</w:t>
            </w:r>
          </w:p>
        </w:tc>
        <w:tc>
          <w:tcPr>
            <w:tcW w:type="dxa" w:w="1768"/>
          </w:tcPr>
          <w:p>
            <w:r>
              <w:rPr>
                <w:b/>
                <w:sz w:val="18"/>
              </w:rPr>
              <w:t>0.895</w:t>
            </w:r>
          </w:p>
        </w:tc>
        <w:tc>
          <w:tcPr>
            <w:tcW w:type="dxa" w:w="1768"/>
          </w:tcPr>
          <w:p>
            <w:r>
              <w:rPr>
                <w:sz w:val="18"/>
              </w:rPr>
              <w:t>2.4</w:t>
            </w:r>
          </w:p>
        </w:tc>
        <w:tc>
          <w:tcPr>
            <w:tcW w:type="dxa" w:w="1768"/>
          </w:tcPr>
          <w:p>
            <w:r>
              <w:rPr>
                <w:sz w:val="18"/>
              </w:rPr>
              <w:t>0.7</w:t>
            </w:r>
          </w:p>
        </w:tc>
        <w:tc>
          <w:tcPr>
            <w:tcW w:type="dxa" w:w="1768"/>
          </w:tcPr>
          <w:p>
            <w:r>
              <w:rPr>
                <w:sz w:val="18"/>
              </w:rPr>
              <w:t>4</w:t>
            </w:r>
          </w:p>
        </w:tc>
      </w:tr>
      <w:tr>
        <w:tc>
          <w:tcPr>
            <w:tcW w:type="dxa" w:w="1768"/>
          </w:tcPr>
          <w:p>
            <w:r>
              <w:rPr>
                <w:sz w:val="18"/>
              </w:rPr>
              <w:t>T2 Type D — Two-zone (random)</w:t>
            </w:r>
          </w:p>
        </w:tc>
        <w:tc>
          <w:tcPr>
            <w:tcW w:type="dxa" w:w="1768"/>
          </w:tcPr>
          <w:p>
            <w:r>
              <w:rPr>
                <w:b/>
                <w:sz w:val="18"/>
              </w:rPr>
              <w:t>0.754</w:t>
            </w:r>
          </w:p>
        </w:tc>
        <w:tc>
          <w:tcPr>
            <w:tcW w:type="dxa" w:w="1768"/>
          </w:tcPr>
          <w:p>
            <w:r>
              <w:rPr>
                <w:sz w:val="18"/>
              </w:rPr>
              <w:t>2.8</w:t>
            </w:r>
          </w:p>
        </w:tc>
        <w:tc>
          <w:tcPr>
            <w:tcW w:type="dxa" w:w="1768"/>
          </w:tcPr>
          <w:p>
            <w:r>
              <w:rPr>
                <w:sz w:val="18"/>
              </w:rPr>
              <w:t>1.0</w:t>
            </w:r>
          </w:p>
        </w:tc>
        <w:tc>
          <w:tcPr>
            <w:tcW w:type="dxa" w:w="1768"/>
          </w:tcPr>
          <w:p>
            <w:r>
              <w:rPr>
                <w:sz w:val="18"/>
              </w:rPr>
              <w:t>6</w:t>
            </w:r>
          </w:p>
        </w:tc>
      </w:tr>
      <w:tr>
        <w:tc>
          <w:tcPr>
            <w:tcW w:type="dxa" w:w="1768"/>
          </w:tcPr>
          <w:p>
            <w:r>
              <w:rPr>
                <w:sz w:val="18"/>
              </w:rPr>
              <w:t>T2 Type A — Baffled  (GA best) ★</w:t>
            </w:r>
          </w:p>
        </w:tc>
        <w:tc>
          <w:tcPr>
            <w:tcW w:type="dxa" w:w="1768"/>
          </w:tcPr>
          <w:p>
            <w:r>
              <w:rPr>
                <w:b/>
                <w:sz w:val="18"/>
              </w:rPr>
              <w:t>0.971</w:t>
            </w:r>
          </w:p>
        </w:tc>
        <w:tc>
          <w:tcPr>
            <w:tcW w:type="dxa" w:w="1768"/>
          </w:tcPr>
          <w:p>
            <w:r>
              <w:rPr>
                <w:sz w:val="18"/>
              </w:rPr>
              <w:t>2.7</w:t>
            </w:r>
          </w:p>
        </w:tc>
        <w:tc>
          <w:tcPr>
            <w:tcW w:type="dxa" w:w="1768"/>
          </w:tcPr>
          <w:p>
            <w:r>
              <w:rPr>
                <w:sz w:val="18"/>
              </w:rPr>
              <w:t>0.5</w:t>
            </w:r>
          </w:p>
        </w:tc>
        <w:tc>
          <w:tcPr>
            <w:tcW w:type="dxa" w:w="1768"/>
          </w:tcPr>
          <w:p>
            <w:r>
              <w:rPr>
                <w:sz w:val="18"/>
              </w:rPr>
              <w:t>2</w:t>
            </w:r>
          </w:p>
        </w:tc>
      </w:tr>
    </w:tbl>
    <w:p>
      <w:pPr>
        <w:spacing w:before="60" w:after="240"/>
        <w:jc w:val="center"/>
      </w:pPr>
      <w:r>
        <w:rPr>
          <w:rFonts w:ascii="Times New Roman" w:hAnsi="Times New Roman"/>
          <w:b w:val="0"/>
          <w:i/>
          <w:sz w:val="18"/>
        </w:rPr>
        <w:t>Table 1 — Best TMA Uniformity Index (TMA-UI) per geometry type. D = nozzle diameter, Q = volumetric flow rate, Re = Reynolds number. All Track 2 types substantially outperform the Track 1 baseline.</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pPr>
        <w:spacing w:after="120"/>
      </w:pPr>
    </w:p>
    <w:p>
      <w:pPr>
        <w:spacing w:after="120"/>
        <w:jc w:val="both"/>
      </w:pPr>
      <w:r>
        <w:rPr>
          <w:rFonts w:ascii="Times New Roman" w:hAnsi="Times New Roman"/>
          <w:b w:val="0"/>
          <w:i w:val="0"/>
          <w:sz w:val="22"/>
        </w:rPr>
        <w:t xml:space="preserve">Notably, the </w:t>
      </w:r>
      <w:r>
        <w:rPr>
          <w:rFonts w:ascii="Times New Roman" w:hAnsi="Times New Roman"/>
          <w:b w:val="0"/>
          <w:i w:val="0"/>
          <w:sz w:val="22"/>
        </w:rPr>
        <w:t>GA</w:t>
      </w:r>
      <w:r>
        <w:rPr>
          <w:rFonts w:ascii="Times New Roman" w:hAnsi="Times New Roman"/>
          <w:b w:val="0"/>
          <w:i w:val="0"/>
          <w:sz w:val="22"/>
        </w:rPr>
        <w:t xml:space="preserve"> identifies a different best topology than random search: random search selects Type C (annular rings, </w:t>
      </w:r>
      <w:r>
        <w:rPr>
          <w:rFonts w:ascii="Times New Roman" w:hAnsi="Times New Roman"/>
          <w:b w:val="0"/>
          <w:i w:val="0"/>
          <w:sz w:val="22"/>
        </w:rPr>
        <w:t>TMA</w:t>
      </w:r>
      <w:r>
        <w:rPr>
          <w:rFonts w:ascii="Times New Roman" w:hAnsi="Times New Roman"/>
          <w:b w:val="0"/>
          <w:i w:val="0"/>
          <w:sz w:val="22"/>
        </w:rPr>
        <w:t xml:space="preserve">-UI = 0.895), while the </w:t>
      </w:r>
      <w:r>
        <w:rPr>
          <w:rFonts w:ascii="Times New Roman" w:hAnsi="Times New Roman"/>
          <w:b w:val="0"/>
          <w:i w:val="0"/>
          <w:sz w:val="22"/>
        </w:rPr>
        <w:t>GA</w:t>
      </w:r>
      <w:r>
        <w:rPr>
          <w:rFonts w:ascii="Times New Roman" w:hAnsi="Times New Roman"/>
          <w:b w:val="0"/>
          <w:i w:val="0"/>
          <w:sz w:val="22"/>
        </w:rPr>
        <w:t xml:space="preserve"> evolves to Type A (baffled plenum, </w:t>
      </w:r>
      <w:r>
        <w:rPr>
          <w:rFonts w:ascii="Times New Roman" w:hAnsi="Times New Roman"/>
          <w:b w:val="0"/>
          <w:i w:val="0"/>
          <w:sz w:val="22"/>
        </w:rPr>
        <w:t>TMA</w:t>
      </w:r>
      <w:r>
        <w:rPr>
          <w:rFonts w:ascii="Times New Roman" w:hAnsi="Times New Roman"/>
          <w:b w:val="0"/>
          <w:i w:val="0"/>
          <w:sz w:val="22"/>
        </w:rPr>
        <w:t xml:space="preserve">-UI = 0.971) with a precisely optimised baffle position (baffle_frac = 0.42, placing the baffle near the lower third of the plenum). This result demonstrates that the </w:t>
      </w:r>
      <w:r>
        <w:rPr>
          <w:rFonts w:ascii="Times New Roman" w:hAnsi="Times New Roman"/>
          <w:b w:val="0"/>
          <w:i w:val="0"/>
          <w:sz w:val="22"/>
        </w:rPr>
        <w:t>GA</w:t>
      </w:r>
      <w:r>
        <w:rPr>
          <w:rFonts w:ascii="Times New Roman" w:hAnsi="Times New Roman"/>
          <w:b w:val="0"/>
          <w:i w:val="0"/>
          <w:sz w:val="22"/>
        </w:rPr>
        <w:t>'s guided evolution across both topology type and continuous parameters simultaneously finds designs that pure random sampling over a fixed type cannot reach.</w:t>
      </w:r>
    </w:p>
    <w:p>
      <w:pPr>
        <w:spacing w:before="240" w:after="80"/>
      </w:pPr>
      <w:r>
        <w:rPr>
          <w:rFonts w:ascii="Times New Roman" w:hAnsi="Times New Roman"/>
          <w:b/>
          <w:i w:val="0"/>
          <w:color w:val="005082"/>
          <w:sz w:val="24"/>
        </w:rPr>
        <w:t>7.2 Track 1 vs Track 2 Pareto Comparison</w:t>
      </w:r>
    </w:p>
    <w:p>
      <w:pPr>
        <w:spacing w:after="120"/>
        <w:jc w:val="both"/>
      </w:pPr>
      <w:r>
        <w:rPr>
          <w:rFonts w:ascii="Times New Roman" w:hAnsi="Times New Roman"/>
          <w:b w:val="0"/>
          <w:i w:val="0"/>
          <w:sz w:val="22"/>
        </w:rPr>
        <w:t xml:space="preserve">Figure 3 shows the complete Track 1 vs Track 2 design space comparison, including the </w:t>
      </w:r>
      <w:r>
        <w:rPr>
          <w:rFonts w:ascii="Times New Roman" w:hAnsi="Times New Roman"/>
          <w:b w:val="0"/>
          <w:i w:val="0"/>
          <w:sz w:val="22"/>
        </w:rPr>
        <w:t>KPI</w:t>
      </w:r>
      <w:r>
        <w:rPr>
          <w:rFonts w:ascii="Times New Roman" w:hAnsi="Times New Roman"/>
          <w:b w:val="0"/>
          <w:i w:val="0"/>
          <w:sz w:val="22"/>
        </w:rPr>
        <w:t xml:space="preserve"> surrogate out-of-fold parity plot.</w:t>
      </w:r>
    </w:p>
    <w:p>
      <w:pPr>
        <w:jc w:val="center"/>
      </w:pPr>
      <w:r>
        <w:drawing>
          <wp:inline xmlns:a="http://schemas.openxmlformats.org/drawingml/2006/main" xmlns:pic="http://schemas.openxmlformats.org/drawingml/2006/picture">
            <wp:extent cx="5303520" cy="1883208"/>
            <wp:docPr id="3" name="Picture 3"/>
            <wp:cNvGraphicFramePr>
              <a:graphicFrameLocks noChangeAspect="1"/>
            </wp:cNvGraphicFramePr>
            <a:graphic>
              <a:graphicData uri="http://schemas.openxmlformats.org/drawingml/2006/picture">
                <pic:pic>
                  <pic:nvPicPr>
                    <pic:cNvPr id="0" name="track2_pareto.png"/>
                    <pic:cNvPicPr/>
                  </pic:nvPicPr>
                  <pic:blipFill>
                    <a:blip r:embed="rId11"/>
                    <a:stretch>
                      <a:fillRect/>
                    </a:stretch>
                  </pic:blipFill>
                  <pic:spPr>
                    <a:xfrm>
                      <a:off x="0" y="0"/>
                      <a:ext cx="5303520" cy="1883208"/>
                    </a:xfrm>
                    <a:prstGeom prst="rect"/>
                  </pic:spPr>
                </pic:pic>
              </a:graphicData>
            </a:graphic>
          </wp:inline>
        </w:drawing>
      </w:r>
    </w:p>
    <w:p>
      <w:pPr>
        <w:spacing w:before="60" w:after="240"/>
        <w:jc w:val="center"/>
      </w:pPr>
      <w:r>
        <w:rPr>
          <w:rFonts w:ascii="Times New Roman" w:hAnsi="Times New Roman"/>
          <w:b w:val="0"/>
          <w:i/>
          <w:sz w:val="18"/>
        </w:rPr>
        <w:t>Figure 3 — Left: Track 1 vs Track 2 full design space. Track 2 candidates dominate Track 1 across all Re values. Right: Combined KPI surrogate OOF parity (n=120, blue=Track 1, orange=Track 2). OOF R²=0.985, ρ=0.947.</w:t>
      </w:r>
    </w:p>
    <w:p>
      <w:pPr>
        <w:spacing w:before="240" w:after="80"/>
      </w:pPr>
      <w:r>
        <w:rPr>
          <w:rFonts w:ascii="Times New Roman" w:hAnsi="Times New Roman"/>
          <w:b/>
          <w:i w:val="0"/>
          <w:color w:val="005082"/>
          <w:sz w:val="24"/>
        </w:rPr>
        <w:t>7.3 GNN Training and Field Accuracy</w:t>
      </w:r>
    </w:p>
    <w:p>
      <w:pPr>
        <w:spacing w:after="120"/>
        <w:jc w:val="both"/>
      </w:pPr>
      <w:r>
        <w:rPr>
          <w:rFonts w:ascii="Times New Roman" w:hAnsi="Times New Roman"/>
          <w:b w:val="0"/>
          <w:i w:val="0"/>
          <w:sz w:val="22"/>
        </w:rPr>
        <w:t xml:space="preserve">Figure 4 shows </w:t>
      </w:r>
      <w:r>
        <w:rPr>
          <w:rFonts w:ascii="Times New Roman" w:hAnsi="Times New Roman"/>
          <w:b w:val="0"/>
          <w:i w:val="0"/>
          <w:sz w:val="22"/>
        </w:rPr>
        <w:t>GNN</w:t>
      </w:r>
      <w:r>
        <w:rPr>
          <w:rFonts w:ascii="Times New Roman" w:hAnsi="Times New Roman"/>
          <w:b w:val="0"/>
          <w:i w:val="0"/>
          <w:sz w:val="22"/>
        </w:rPr>
        <w:t xml:space="preserve"> training and validation loss curves.</w:t>
      </w:r>
    </w:p>
    <w:p>
      <w:pPr>
        <w:jc w:val="center"/>
      </w:pPr>
      <w:r>
        <w:drawing>
          <wp:inline xmlns:a="http://schemas.openxmlformats.org/drawingml/2006/main" xmlns:pic="http://schemas.openxmlformats.org/drawingml/2006/picture">
            <wp:extent cx="4572000" cy="1524000"/>
            <wp:docPr id="4" name="Picture 4"/>
            <wp:cNvGraphicFramePr>
              <a:graphicFrameLocks noChangeAspect="1"/>
            </wp:cNvGraphicFramePr>
            <a:graphic>
              <a:graphicData uri="http://schemas.openxmlformats.org/drawingml/2006/picture">
                <pic:pic>
                  <pic:nvPicPr>
                    <pic:cNvPr id="0" name="loss_curve.png"/>
                    <pic:cNvPicPr/>
                  </pic:nvPicPr>
                  <pic:blipFill>
                    <a:blip r:embed="rId12"/>
                    <a:stretch>
                      <a:fillRect/>
                    </a:stretch>
                  </pic:blipFill>
                  <pic:spPr>
                    <a:xfrm>
                      <a:off x="0" y="0"/>
                      <a:ext cx="4572000" cy="1524000"/>
                    </a:xfrm>
                    <a:prstGeom prst="rect"/>
                  </pic:spPr>
                </pic:pic>
              </a:graphicData>
            </a:graphic>
          </wp:inline>
        </w:drawing>
      </w:r>
    </w:p>
    <w:p>
      <w:pPr>
        <w:spacing w:before="60" w:after="240"/>
        <w:jc w:val="center"/>
      </w:pPr>
      <w:r>
        <w:rPr>
          <w:rFonts w:ascii="Times New Roman" w:hAnsi="Times New Roman"/>
          <w:b w:val="0"/>
          <w:i/>
          <w:sz w:val="18"/>
        </w:rPr>
        <w:t>Figure 4 — GNN training and validation loss curves (200 epochs, Colab A100 GPU). Left: total loss. Right: per-head breakdown (flow / heat / species). Species loss decreases more slowly due to the near-uniform TMA field in the current mesh resolution.</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achieves: pressure Mean Absolute Error (</w:t>
      </w:r>
      <w:r>
        <w:rPr>
          <w:rFonts w:ascii="Times New Roman" w:hAnsi="Times New Roman"/>
          <w:b/>
          <w:i w:val="0"/>
          <w:sz w:val="22"/>
        </w:rPr>
        <w:t>MAE</w:t>
      </w:r>
      <w:r>
        <w:rPr>
          <w:rFonts w:ascii="Times New Roman" w:hAnsi="Times New Roman"/>
          <w:b w:val="0"/>
          <w:i w:val="0"/>
          <w:sz w:val="22"/>
        </w:rPr>
        <w:t xml:space="preserve">) &lt; 0.96% (relative), temperature </w:t>
      </w:r>
      <w:r>
        <w:rPr>
          <w:rFonts w:ascii="Times New Roman" w:hAnsi="Times New Roman"/>
          <w:b w:val="0"/>
          <w:i w:val="0"/>
          <w:sz w:val="22"/>
        </w:rPr>
        <w:t>MAE</w:t>
      </w:r>
      <w:r>
        <w:rPr>
          <w:rFonts w:ascii="Times New Roman" w:hAnsi="Times New Roman"/>
          <w:b w:val="0"/>
          <w:i w:val="0"/>
          <w:sz w:val="22"/>
        </w:rPr>
        <w:t xml:space="preserve"> &lt; 0.29% (relative). Velocity field prediction is weaker (relative </w:t>
      </w:r>
      <w:r>
        <w:rPr>
          <w:rFonts w:ascii="Times New Roman" w:hAnsi="Times New Roman"/>
          <w:b w:val="0"/>
          <w:i w:val="0"/>
          <w:sz w:val="22"/>
        </w:rPr>
        <w:t>MAE</w:t>
      </w:r>
      <w:r>
        <w:rPr>
          <w:rFonts w:ascii="Times New Roman" w:hAnsi="Times New Roman"/>
          <w:b w:val="0"/>
          <w:i w:val="0"/>
          <w:sz w:val="22"/>
        </w:rPr>
        <w:t xml:space="preserve"> ~120%) due to complex 3D flow patterns relative to the 123-case dataset size. </w:t>
      </w:r>
      <w:r>
        <w:rPr>
          <w:rFonts w:ascii="Times New Roman" w:hAnsi="Times New Roman"/>
          <w:b w:val="0"/>
          <w:i w:val="0"/>
          <w:sz w:val="22"/>
        </w:rPr>
        <w:t>TMA</w:t>
      </w:r>
      <w:r>
        <w:rPr>
          <w:rFonts w:ascii="Times New Roman" w:hAnsi="Times New Roman"/>
          <w:b w:val="0"/>
          <w:i w:val="0"/>
          <w:sz w:val="22"/>
        </w:rPr>
        <w:t xml:space="preserve"> spatial prediction is mesh-limited (sub-millimetre boundary layer unresolved at ~1 mm cell size); the multi-fidelity </w:t>
      </w:r>
      <w:r>
        <w:rPr>
          <w:rFonts w:ascii="Times New Roman" w:hAnsi="Times New Roman"/>
          <w:b w:val="0"/>
          <w:i w:val="0"/>
          <w:sz w:val="22"/>
        </w:rPr>
        <w:t>KPI</w:t>
      </w:r>
      <w:r>
        <w:rPr>
          <w:rFonts w:ascii="Times New Roman" w:hAnsi="Times New Roman"/>
          <w:b w:val="0"/>
          <w:i w:val="0"/>
          <w:sz w:val="22"/>
        </w:rPr>
        <w:t xml:space="preserve"> surrogate compensates for this at the design-ranking level.</w:t>
      </w:r>
    </w:p>
    <w:p>
      <w:pPr>
        <w:spacing w:before="240" w:after="80"/>
      </w:pPr>
      <w:r>
        <w:rPr>
          <w:rFonts w:ascii="Times New Roman" w:hAnsi="Times New Roman"/>
          <w:b/>
          <w:i w:val="0"/>
          <w:color w:val="005082"/>
          <w:sz w:val="24"/>
        </w:rPr>
        <w:t>7.4 Ablation Study — KPI Surrogate Components</w:t>
      </w:r>
    </w:p>
    <w:p>
      <w:pPr>
        <w:spacing w:after="120"/>
        <w:jc w:val="both"/>
      </w:pPr>
      <w:r>
        <w:rPr>
          <w:rFonts w:ascii="Times New Roman" w:hAnsi="Times New Roman"/>
          <w:b w:val="0"/>
          <w:i w:val="0"/>
          <w:sz w:val="22"/>
        </w:rPr>
        <w:t xml:space="preserve">Table 2 quantifies the contribution of each component of the </w:t>
      </w:r>
      <w:r>
        <w:rPr>
          <w:rFonts w:ascii="Times New Roman" w:hAnsi="Times New Roman"/>
          <w:b w:val="0"/>
          <w:i w:val="0"/>
          <w:sz w:val="22"/>
        </w:rPr>
        <w:t>KPI</w:t>
      </w:r>
      <w:r>
        <w:rPr>
          <w:rFonts w:ascii="Times New Roman" w:hAnsi="Times New Roman"/>
          <w:b w:val="0"/>
          <w:i w:val="0"/>
          <w:sz w:val="22"/>
        </w:rPr>
        <w:t xml:space="preserve"> surrogate. Each row adds one component to the previous configuration.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b/>
                <w:sz w:val="18"/>
              </w:rPr>
              <w:t>Configuration</w:t>
            </w:r>
          </w:p>
        </w:tc>
        <w:tc>
          <w:tcPr>
            <w:tcW w:type="dxa" w:w="2209"/>
          </w:tcPr>
          <w:p>
            <w:r>
              <w:rPr>
                <w:b/>
                <w:sz w:val="18"/>
              </w:rPr>
              <w:t>Change added</w:t>
            </w:r>
          </w:p>
        </w:tc>
        <w:tc>
          <w:tcPr>
            <w:tcW w:type="dxa" w:w="2209"/>
          </w:tcPr>
          <w:p>
            <w:r>
              <w:rPr>
                <w:b/>
                <w:sz w:val="18"/>
              </w:rPr>
              <w:t>OOF R²</w:t>
            </w:r>
          </w:p>
        </w:tc>
        <w:tc>
          <w:tcPr>
            <w:tcW w:type="dxa" w:w="2209"/>
          </w:tcPr>
          <w:p>
            <w:r>
              <w:rPr>
                <w:b/>
                <w:sz w:val="18"/>
              </w:rPr>
              <w:t>OOF ρ</w:t>
            </w:r>
          </w:p>
        </w:tc>
      </w:tr>
      <w:tr>
        <w:tc>
          <w:tcPr>
            <w:tcW w:type="dxa" w:w="2209"/>
          </w:tcPr>
          <w:p>
            <w:r>
              <w:rPr>
                <w:sz w:val="18"/>
              </w:rPr>
              <w:t>Single 70/13 split, 18 features only</w:t>
            </w:r>
          </w:p>
        </w:tc>
        <w:tc>
          <w:tcPr>
            <w:tcW w:type="dxa" w:w="2209"/>
          </w:tcPr>
          <w:p>
            <w:r>
              <w:rPr>
                <w:sz w:val="18"/>
              </w:rPr>
              <w:t>Baseline</w:t>
            </w:r>
          </w:p>
        </w:tc>
        <w:tc>
          <w:tcPr>
            <w:tcW w:type="dxa" w:w="2209"/>
          </w:tcPr>
          <w:p>
            <w:r>
              <w:rPr>
                <w:sz w:val="18"/>
              </w:rPr>
              <w:t>−0.56</w:t>
            </w:r>
          </w:p>
        </w:tc>
        <w:tc>
          <w:tcPr>
            <w:tcW w:type="dxa" w:w="2209"/>
          </w:tcPr>
          <w:p>
            <w:r>
              <w:rPr>
                <w:sz w:val="18"/>
              </w:rPr>
              <w:t>0.66</w:t>
            </w:r>
          </w:p>
        </w:tc>
      </w:tr>
      <w:tr>
        <w:tc>
          <w:tcPr>
            <w:tcW w:type="dxa" w:w="2209"/>
          </w:tcPr>
          <w:p>
            <w:r>
              <w:rPr>
                <w:sz w:val="18"/>
              </w:rPr>
              <w:t>5-fold CV, 18 features only</w:t>
            </w:r>
          </w:p>
        </w:tc>
        <w:tc>
          <w:tcPr>
            <w:tcW w:type="dxa" w:w="2209"/>
          </w:tcPr>
          <w:p>
            <w:r>
              <w:rPr>
                <w:sz w:val="18"/>
              </w:rPr>
              <w:t>+ K-fold</w:t>
            </w:r>
          </w:p>
        </w:tc>
        <w:tc>
          <w:tcPr>
            <w:tcW w:type="dxa" w:w="2209"/>
          </w:tcPr>
          <w:p>
            <w:r>
              <w:rPr>
                <w:sz w:val="18"/>
              </w:rPr>
              <w:t>0.43</w:t>
            </w:r>
          </w:p>
        </w:tc>
        <w:tc>
          <w:tcPr>
            <w:tcW w:type="dxa" w:w="2209"/>
          </w:tcPr>
          <w:p>
            <w:r>
              <w:rPr>
                <w:sz w:val="18"/>
              </w:rPr>
              <w:t>0.73</w:t>
            </w:r>
          </w:p>
        </w:tc>
      </w:tr>
      <w:tr>
        <w:tc>
          <w:tcPr>
            <w:tcW w:type="dxa" w:w="2209"/>
          </w:tcPr>
          <w:p>
            <w:r>
              <w:rPr>
                <w:sz w:val="18"/>
              </w:rPr>
              <w:t>5-fold CV, 27 features (+ wafer-plane stats)</w:t>
            </w:r>
          </w:p>
        </w:tc>
        <w:tc>
          <w:tcPr>
            <w:tcW w:type="dxa" w:w="2209"/>
          </w:tcPr>
          <w:p>
            <w:r>
              <w:rPr>
                <w:sz w:val="18"/>
              </w:rPr>
              <w:t>+ Multi-fidelity features</w:t>
            </w:r>
          </w:p>
        </w:tc>
        <w:tc>
          <w:tcPr>
            <w:tcW w:type="dxa" w:w="2209"/>
          </w:tcPr>
          <w:p>
            <w:r>
              <w:rPr>
                <w:sz w:val="18"/>
              </w:rPr>
              <w:t>0.81</w:t>
            </w:r>
          </w:p>
        </w:tc>
        <w:tc>
          <w:tcPr>
            <w:tcW w:type="dxa" w:w="2209"/>
          </w:tcPr>
          <w:p>
            <w:r>
              <w:rPr>
                <w:sz w:val="18"/>
              </w:rPr>
              <w:t>0.88</w:t>
            </w:r>
          </w:p>
        </w:tc>
      </w:tr>
      <w:tr>
        <w:tc>
          <w:tcPr>
            <w:tcW w:type="dxa" w:w="2209"/>
          </w:tcPr>
          <w:p>
            <w:r>
              <w:rPr>
                <w:sz w:val="18"/>
              </w:rPr>
              <w:t>5-fold CV ensemble, 27 features</w:t>
            </w:r>
          </w:p>
        </w:tc>
        <w:tc>
          <w:tcPr>
            <w:tcW w:type="dxa" w:w="2209"/>
          </w:tcPr>
          <w:p>
            <w:r>
              <w:rPr>
                <w:sz w:val="18"/>
              </w:rPr>
              <w:t>+ Ensemble (5 models avg)</w:t>
            </w:r>
          </w:p>
        </w:tc>
        <w:tc>
          <w:tcPr>
            <w:tcW w:type="dxa" w:w="2209"/>
          </w:tcPr>
          <w:p>
            <w:r>
              <w:rPr>
                <w:b/>
                <w:sz w:val="18"/>
              </w:rPr>
              <w:t>0.985</w:t>
            </w:r>
          </w:p>
        </w:tc>
        <w:tc>
          <w:tcPr>
            <w:tcW w:type="dxa" w:w="2209"/>
          </w:tcPr>
          <w:p>
            <w:r>
              <w:rPr>
                <w:b/>
                <w:sz w:val="18"/>
              </w:rPr>
              <w:t>0.947</w:t>
            </w:r>
          </w:p>
        </w:tc>
      </w:tr>
    </w:tbl>
    <w:p>
      <w:pPr>
        <w:spacing w:before="60" w:after="240"/>
        <w:jc w:val="center"/>
      </w:pPr>
      <w:r>
        <w:rPr>
          <w:rFonts w:ascii="Times New Roman" w:hAnsi="Times New Roman"/>
          <w:b w:val="0"/>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pPr>
        <w:spacing w:after="120"/>
        <w:jc w:val="both"/>
      </w:pPr>
      <w:r>
        <w:rPr>
          <w:rFonts w:ascii="Times New Roman" w:hAnsi="Times New Roman"/>
          <w:b w:val="0"/>
          <w:i w:val="0"/>
          <w:sz w:val="22"/>
        </w:rPr>
        <w:t xml:space="preserve">Key observations: (1) 5-fold cross-validation is essential — a single 70/13 split gives </w:t>
      </w:r>
      <w:r>
        <w:rPr>
          <w:rFonts w:ascii="Times New Roman" w:hAnsi="Times New Roman"/>
          <w:b w:val="0"/>
          <w:i w:val="0"/>
          <w:sz w:val="22"/>
        </w:rPr>
        <w:t>OOF</w:t>
      </w:r>
      <w:r>
        <w:rPr>
          <w:rFonts w:ascii="Times New Roman" w:hAnsi="Times New Roman"/>
          <w:b w:val="0"/>
          <w:i w:val="0"/>
          <w:sz w:val="22"/>
        </w:rPr>
        <w:t xml:space="preserve"> R² = −0.56 due to the small dataset size, whereas K-fold corrects this to 0.43; (2) adding the 9 wafer-plane </w:t>
      </w:r>
      <w:r>
        <w:rPr>
          <w:rFonts w:ascii="Times New Roman" w:hAnsi="Times New Roman"/>
          <w:b w:val="0"/>
          <w:i w:val="0"/>
          <w:sz w:val="22"/>
        </w:rPr>
        <w:t>CFD</w:t>
      </w:r>
      <w:r>
        <w:rPr>
          <w:rFonts w:ascii="Times New Roman" w:hAnsi="Times New Roman"/>
          <w:b w:val="0"/>
          <w:i w:val="0"/>
          <w:sz w:val="22"/>
        </w:rPr>
        <w:t xml:space="preserve"> statistics doubles R² from 0.43 to 0.81 and raises Spearman ρ from 0.73 to 0.88, confirming that vertical velocity uniformity at the nozzle exit is a strong proxy for </w:t>
      </w:r>
      <w:r>
        <w:rPr>
          <w:rFonts w:ascii="Times New Roman" w:hAnsi="Times New Roman"/>
          <w:b w:val="0"/>
          <w:i w:val="0"/>
          <w:sz w:val="22"/>
        </w:rPr>
        <w:t>TMA</w:t>
      </w:r>
      <w:r>
        <w:rPr>
          <w:rFonts w:ascii="Times New Roman" w:hAnsi="Times New Roman"/>
          <w:b w:val="0"/>
          <w:i w:val="0"/>
          <w:sz w:val="22"/>
        </w:rPr>
        <w:t>-UI; (3) ensemble averaging adds a further improvement to R² = 0.985.</w:t>
      </w:r>
    </w:p>
    <w:p>
      <w:pPr>
        <w:spacing w:before="240" w:after="80"/>
      </w:pPr>
      <w:r>
        <w:rPr>
          <w:rFonts w:ascii="Times New Roman" w:hAnsi="Times New Roman"/>
          <w:b/>
          <w:i w:val="0"/>
          <w:color w:val="005082"/>
          <w:sz w:val="24"/>
        </w:rPr>
        <w:t>7.5 Guardrail Validation</w:t>
      </w:r>
    </w:p>
    <w:p>
      <w:pPr>
        <w:spacing w:after="120"/>
        <w:jc w:val="both"/>
      </w:pPr>
      <w:r>
        <w:rPr>
          <w:rFonts w:ascii="Times New Roman" w:hAnsi="Times New Roman"/>
          <w:b w:val="0"/>
          <w:i w:val="0"/>
          <w:sz w:val="22"/>
        </w:rPr>
        <w:t xml:space="preserve">All 1,200 Track 2 optimizer candidates were screened against the eleven guardrails before </w:t>
      </w:r>
      <w:r>
        <w:rPr>
          <w:rFonts w:ascii="Times New Roman" w:hAnsi="Times New Roman"/>
          <w:b w:val="0"/>
          <w:i w:val="0"/>
          <w:sz w:val="22"/>
        </w:rPr>
        <w:t>KPI</w:t>
      </w:r>
      <w:r>
        <w:rPr>
          <w:rFonts w:ascii="Times New Roman" w:hAnsi="Times New Roman"/>
          <w:b w:val="0"/>
          <w:i w:val="0"/>
          <w:sz w:val="22"/>
        </w:rPr>
        <w:t xml:space="preserve"> evaluation. The Damkohler guardrail (</w:t>
      </w:r>
      <w:r>
        <w:rPr>
          <w:rFonts w:ascii="Times New Roman" w:hAnsi="Times New Roman"/>
          <w:b w:val="0"/>
          <w:i w:val="0"/>
          <w:sz w:val="22"/>
        </w:rPr>
        <w:t>Da</w:t>
      </w:r>
      <w:r>
        <w:rPr>
          <w:rFonts w:ascii="Times New Roman" w:hAnsi="Times New Roman"/>
          <w:b w:val="0"/>
          <w:i w:val="0"/>
          <w:sz w:val="22"/>
        </w:rPr>
        <w:t xml:space="preserve">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pPr>
        <w:spacing w:before="240" w:after="80"/>
      </w:pPr>
      <w:r>
        <w:rPr>
          <w:rFonts w:ascii="Times New Roman" w:hAnsi="Times New Roman"/>
          <w:b/>
          <w:i w:val="0"/>
          <w:color w:val="003366"/>
          <w:sz w:val="28"/>
        </w:rPr>
        <w:t>8. Industry Use Cases</w:t>
      </w:r>
    </w:p>
    <w:p>
      <w:pPr>
        <w:pStyle w:val="ListBullet"/>
        <w:spacing w:after="60"/>
        <w:jc w:val="both"/>
      </w:pPr>
      <w:r>
        <w:rPr>
          <w:rFonts w:ascii="Times New Roman" w:hAnsi="Times New Roman"/>
          <w:b/>
          <w:i w:val="0"/>
          <w:sz w:val="22"/>
        </w:rPr>
        <w:t xml:space="preserve">Advanced logic (3 nm and below): </w:t>
      </w:r>
      <w:r>
        <w:rPr>
          <w:rFonts w:ascii="Times New Roman" w:hAnsi="Times New Roman"/>
          <w:b w:val="0"/>
          <w:i w:val="0"/>
          <w:sz w:val="22"/>
        </w:rPr>
        <w:t>at sub-5 nm nodes, film thickness must be controlled to ±0.1 nm across 300 mm wafers. The framework optimises showerhead geometry to minimise TMA-UI non-uniformity, directly targeting this specification.</w:t>
      </w:r>
    </w:p>
    <w:p>
      <w:pPr>
        <w:pStyle w:val="ListBullet"/>
        <w:spacing w:after="60"/>
        <w:jc w:val="both"/>
      </w:pPr>
      <w:r>
        <w:rPr>
          <w:rFonts w:ascii="Times New Roman" w:hAnsi="Times New Roman"/>
          <w:b/>
          <w:i w:val="0"/>
          <w:sz w:val="22"/>
        </w:rPr>
        <w:t xml:space="preserve">High-Bandwidth Memory (HBM) stacking: </w:t>
      </w:r>
      <w:r>
        <w:rPr>
          <w:rFonts w:ascii="Times New Roman" w:hAnsi="Times New Roman"/>
          <w:b w:val="0"/>
          <w:i w:val="0"/>
          <w:sz w:val="22"/>
        </w:rPr>
        <w:t>through-silicon vias (TSVs) in 3D-stacked memory require conformal ALD barrier films in high-aspect-ratio features. High TMA-UI with Da &lt;&lt; 1 ensures conformal coverage.</w:t>
      </w:r>
    </w:p>
    <w:p>
      <w:pPr>
        <w:pStyle w:val="ListBullet"/>
        <w:spacing w:after="60"/>
        <w:jc w:val="both"/>
      </w:pPr>
      <w:r>
        <w:rPr>
          <w:rFonts w:ascii="Times New Roman" w:hAnsi="Times New Roman"/>
          <w:b/>
          <w:i w:val="0"/>
          <w:sz w:val="22"/>
        </w:rPr>
        <w:t xml:space="preserve">Solid-state battery electrolytes: </w:t>
      </w:r>
      <w:r>
        <w:rPr>
          <w:rFonts w:ascii="Times New Roman" w:hAnsi="Times New Roman"/>
          <w:b w:val="0"/>
          <w:i w:val="0"/>
          <w:sz w:val="22"/>
        </w:rPr>
        <w:t>ALD-deposited lithium ion conducting films for solid-state batteries require large-area uniformity. Track 2 baffled and two-zone designs address this challenge.</w:t>
      </w:r>
    </w:p>
    <w:p>
      <w:pPr>
        <w:pStyle w:val="ListBullet"/>
        <w:spacing w:after="60"/>
        <w:jc w:val="both"/>
      </w:pPr>
      <w:r>
        <w:rPr>
          <w:rFonts w:ascii="Times New Roman" w:hAnsi="Times New Roman"/>
          <w:b/>
          <w:i w:val="0"/>
          <w:sz w:val="22"/>
        </w:rPr>
        <w:t xml:space="preserve">Catalyst synthesis: </w:t>
      </w:r>
      <w:r>
        <w:rPr>
          <w:rFonts w:ascii="Times New Roman" w:hAnsi="Times New Roman"/>
          <w:b w:val="0"/>
          <w:i w:val="0"/>
          <w:sz w:val="22"/>
        </w:rPr>
        <w:t>ALD deposits precisely controlled catalyst films on porous supports. Optimal precursor distribution directly controls catalyst loading uniformity.</w:t>
      </w:r>
    </w:p>
    <w:p>
      <w:pPr>
        <w:pStyle w:val="ListBullet"/>
        <w:spacing w:after="60"/>
        <w:jc w:val="both"/>
      </w:pPr>
      <w:r>
        <w:rPr>
          <w:rFonts w:ascii="Times New Roman" w:hAnsi="Times New Roman"/>
          <w:b/>
          <w:i w:val="0"/>
          <w:sz w:val="22"/>
        </w:rPr>
        <w:t xml:space="preserve">Flexible electronics: </w:t>
      </w:r>
      <w:r>
        <w:rPr>
          <w:rFonts w:ascii="Times New Roman" w:hAnsi="Times New Roman"/>
          <w:b w:val="0"/>
          <w:i w:val="0"/>
          <w:sz w:val="22"/>
        </w:rPr>
        <w:t>roll-to-roll ALD for flexible devices requires uniform deposition across moving substrates. The framework is adaptable to linear showerhead geometries.</w:t>
      </w:r>
    </w:p>
    <w:p>
      <w:pPr>
        <w:spacing w:before="240" w:after="80"/>
      </w:pPr>
      <w:r>
        <w:rPr>
          <w:rFonts w:ascii="Times New Roman" w:hAnsi="Times New Roman"/>
          <w:b/>
          <w:i w:val="0"/>
          <w:color w:val="003366"/>
          <w:sz w:val="28"/>
        </w:rPr>
        <w:t>9. Limitations and Future Work</w:t>
      </w:r>
    </w:p>
    <w:p>
      <w:pPr>
        <w:pStyle w:val="ListBullet"/>
        <w:spacing w:after="60"/>
        <w:jc w:val="both"/>
      </w:pPr>
      <w:r>
        <w:rPr>
          <w:rFonts w:ascii="Times New Roman" w:hAnsi="Times New Roman"/>
          <w:b/>
          <w:i w:val="0"/>
          <w:sz w:val="22"/>
        </w:rPr>
        <w:t xml:space="preserve">Wafer-plane mesh refinement: </w:t>
      </w:r>
      <w:r>
        <w:rPr>
          <w:rFonts w:ascii="Times New Roman" w:hAnsi="Times New Roman"/>
          <w:b w:val="0"/>
          <w:i w:val="0"/>
          <w:sz w:val="22"/>
        </w:rPr>
        <w:t>TMA spatial field prediction requires ~0.1 mm cell size at the wafer surface (current: ~1 mm). Refinement via snappyHexMesh refinementRegions would enable full-field species head training at ~5× simulation cost.</w:t>
      </w:r>
    </w:p>
    <w:p>
      <w:pPr>
        <w:pStyle w:val="ListBullet"/>
        <w:spacing w:after="60"/>
        <w:jc w:val="both"/>
      </w:pPr>
      <w:r>
        <w:rPr>
          <w:rFonts w:ascii="Times New Roman" w:hAnsi="Times New Roman"/>
          <w:b/>
          <w:i w:val="0"/>
          <w:sz w:val="22"/>
        </w:rPr>
        <w:t xml:space="preserve">Dataset scale: </w:t>
      </w:r>
      <w:r>
        <w:rPr>
          <w:rFonts w:ascii="Times New Roman" w:hAnsi="Times New Roman"/>
          <w:b w:val="0"/>
          <w:i w:val="0"/>
          <w:sz w:val="22"/>
        </w:rPr>
        <w:t>123 cases is sufficient for a framework demonstration; production deployment would benefit from 500+ cases per track. The OpenFOAM pipeline is fully automated and scales linearly.</w:t>
      </w:r>
    </w:p>
    <w:p>
      <w:pPr>
        <w:pStyle w:val="ListBullet"/>
        <w:spacing w:after="60"/>
        <w:jc w:val="both"/>
      </w:pPr>
      <w:r>
        <w:rPr>
          <w:rFonts w:ascii="Times New Roman" w:hAnsi="Times New Roman"/>
          <w:b/>
          <w:i w:val="0"/>
          <w:sz w:val="22"/>
        </w:rPr>
        <w:t xml:space="preserve">Extended topology search via larger populations: </w:t>
      </w:r>
      <w:r>
        <w:rPr>
          <w:rFonts w:ascii="Times New Roman" w:hAnsi="Times New Roman"/>
          <w:b w:val="0"/>
          <w:i w:val="0"/>
          <w:sz w:val="22"/>
        </w:rPr>
        <w:t>the GA converges in 50 generations (2,000 evaluations). Larger population sizes and more generations would continue to improve results at the cost of additional (still cheap, surrogate-based) evaluations.</w:t>
      </w:r>
    </w:p>
    <w:p>
      <w:pPr>
        <w:pStyle w:val="ListBullet"/>
        <w:spacing w:after="60"/>
        <w:jc w:val="both"/>
      </w:pPr>
      <w:r>
        <w:rPr>
          <w:rFonts w:ascii="Times New Roman" w:hAnsi="Times New Roman"/>
          <w:b/>
          <w:i w:val="0"/>
          <w:sz w:val="22"/>
        </w:rPr>
        <w:t xml:space="preserve">Voxel parallelisation: </w:t>
      </w:r>
      <w:r>
        <w:rPr>
          <w:rFonts w:ascii="Times New Roman" w:hAnsi="Times New Roman"/>
          <w:b w:val="0"/>
          <w:i w:val="0"/>
          <w:sz w:val="22"/>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pPr>
        <w:spacing w:before="240" w:after="80"/>
      </w:pPr>
      <w:r>
        <w:rPr>
          <w:rFonts w:ascii="Times New Roman" w:hAnsi="Times New Roman"/>
          <w:b/>
          <w:i w:val="0"/>
          <w:color w:val="003366"/>
          <w:sz w:val="28"/>
        </w:rPr>
        <w:t>10. Conclusion</w:t>
      </w:r>
    </w:p>
    <w:p>
      <w:pPr>
        <w:spacing w:after="120"/>
        <w:jc w:val="both"/>
      </w:pPr>
      <w:r>
        <w:rPr>
          <w:rFonts w:ascii="Times New Roman" w:hAnsi="Times New Roman"/>
          <w:b w:val="0"/>
          <w:i w:val="0"/>
          <w:sz w:val="22"/>
        </w:rPr>
        <w:t xml:space="preserve">This paper makes a claim that is easy to misread and worth stating precisely: the +130% </w:t>
      </w:r>
      <w:r>
        <w:rPr>
          <w:rFonts w:ascii="Times New Roman" w:hAnsi="Times New Roman"/>
          <w:b w:val="0"/>
          <w:i w:val="0"/>
          <w:sz w:val="22"/>
        </w:rPr>
        <w:t>TMA</w:t>
      </w:r>
      <w:r>
        <w:rPr>
          <w:rFonts w:ascii="Times New Roman" w:hAnsi="Times New Roman"/>
          <w:b w:val="0"/>
          <w:i w:val="0"/>
          <w:sz w:val="22"/>
        </w:rPr>
        <w:t xml:space="preserve"> uniformity improvement in Track 2 does not come from a better surrogate model, better training data, or better physics prediction. It comes from the fact that the best-performing showerhead geometry — an annular-ring nozzle pattern — physically cannot be constructed within the hex-array parametric design space, at any combination of parameter values. The geometry is the contribution. The surrogate simply evaluates it quickly.</w:t>
      </w:r>
    </w:p>
    <w:p>
      <w:pPr>
        <w:spacing w:after="120"/>
        <w:jc w:val="both"/>
      </w:pPr>
      <w:r>
        <w:rPr>
          <w:rFonts w:ascii="Times New Roman" w:hAnsi="Times New Roman"/>
          <w:b w:val="0"/>
          <w:i w:val="0"/>
          <w:sz w:val="22"/>
        </w:rPr>
        <w:t xml:space="preserve">This distinguishes the work from the large body of Physics-Informed Neural Network (PINN) and neural PDE solver research, which asks: "Can we predict </w:t>
      </w:r>
      <w:r>
        <w:rPr>
          <w:rFonts w:ascii="Times New Roman" w:hAnsi="Times New Roman"/>
          <w:b w:val="0"/>
          <w:i w:val="0"/>
          <w:sz w:val="22"/>
        </w:rPr>
        <w:t>CFD</w:t>
      </w:r>
      <w:r>
        <w:rPr>
          <w:rFonts w:ascii="Times New Roman" w:hAnsi="Times New Roman"/>
          <w:b w:val="0"/>
          <w:i w:val="0"/>
          <w:sz w:val="22"/>
        </w:rPr>
        <w:t xml:space="preserve"> results faster or more accurately for a given geometry?" We ask a different question: "Can we reach geometries that no parametric tool can even represent?" The Catalan number characterisation answers this formally — for n primitive shapes, C(n-1) distinct </w:t>
      </w:r>
      <w:r>
        <w:rPr>
          <w:rFonts w:ascii="Times New Roman" w:hAnsi="Times New Roman"/>
          <w:b w:val="0"/>
          <w:i w:val="0"/>
          <w:sz w:val="22"/>
        </w:rPr>
        <w:t>CSG</w:t>
      </w:r>
      <w:r>
        <w:rPr>
          <w:rFonts w:ascii="Times New Roman" w:hAnsi="Times New Roman"/>
          <w:b w:val="0"/>
          <w:i w:val="0"/>
          <w:sz w:val="22"/>
        </w:rPr>
        <w:t xml:space="preserve"> tree topologies exist (C(5) = 42 for 6 primitives), and every parametric design tool is structurally locked to exactly one of them. The topology gap — not surrogate accuracy — is the binding constraint in </w:t>
      </w:r>
      <w:r>
        <w:rPr>
          <w:rFonts w:ascii="Times New Roman" w:hAnsi="Times New Roman"/>
          <w:b w:val="0"/>
          <w:i w:val="0"/>
          <w:sz w:val="22"/>
        </w:rPr>
        <w:t>ALD</w:t>
      </w:r>
      <w:r>
        <w:rPr>
          <w:rFonts w:ascii="Times New Roman" w:hAnsi="Times New Roman"/>
          <w:b w:val="0"/>
          <w:i w:val="0"/>
          <w:sz w:val="22"/>
        </w:rPr>
        <w:t xml:space="preserve"> showerhead design optimisation.</w:t>
      </w:r>
    </w:p>
    <w:p>
      <w:pPr>
        <w:spacing w:after="120"/>
        <w:jc w:val="both"/>
      </w:pPr>
      <w:r>
        <w:rPr>
          <w:rFonts w:ascii="Times New Roman" w:hAnsi="Times New Roman"/>
          <w:b w:val="0"/>
          <w:i w:val="0"/>
          <w:sz w:val="22"/>
        </w:rPr>
        <w:t xml:space="preserve">The framework presented here — </w:t>
      </w:r>
      <w:r>
        <w:rPr>
          <w:rFonts w:ascii="Times New Roman" w:hAnsi="Times New Roman"/>
          <w:b w:val="0"/>
          <w:i w:val="0"/>
          <w:sz w:val="22"/>
        </w:rPr>
        <w:t>PCGM</w:t>
      </w:r>
      <w:r>
        <w:rPr>
          <w:rFonts w:ascii="Times New Roman" w:hAnsi="Times New Roman"/>
          <w:b w:val="0"/>
          <w:i w:val="0"/>
          <w:sz w:val="22"/>
        </w:rPr>
        <w:t xml:space="preserve"> for parametric exploration and </w:t>
      </w:r>
      <w:r>
        <w:rPr>
          <w:rFonts w:ascii="Times New Roman" w:hAnsi="Times New Roman"/>
          <w:b w:val="0"/>
          <w:i w:val="0"/>
          <w:sz w:val="22"/>
        </w:rPr>
        <w:t>VICES</w:t>
      </w:r>
      <w:r>
        <w:rPr>
          <w:rFonts w:ascii="Times New Roman" w:hAnsi="Times New Roman"/>
          <w:b w:val="0"/>
          <w:i w:val="0"/>
          <w:sz w:val="22"/>
        </w:rPr>
        <w:t xml:space="preserve"> for topological synthesis — shares a common physics calculator, </w:t>
      </w:r>
      <w:r>
        <w:rPr>
          <w:rFonts w:ascii="Times New Roman" w:hAnsi="Times New Roman"/>
          <w:b w:val="0"/>
          <w:i w:val="0"/>
          <w:sz w:val="22"/>
        </w:rPr>
        <w:t>GNN</w:t>
      </w:r>
      <w:r>
        <w:rPr>
          <w:rFonts w:ascii="Times New Roman" w:hAnsi="Times New Roman"/>
          <w:b w:val="0"/>
          <w:i w:val="0"/>
          <w:sz w:val="22"/>
        </w:rPr>
        <w:t xml:space="preserve"> surrogate, two-tier guardrail engine, and </w:t>
      </w:r>
      <w:r>
        <w:rPr>
          <w:rFonts w:ascii="Times New Roman" w:hAnsi="Times New Roman"/>
          <w:b w:val="0"/>
          <w:i w:val="0"/>
          <w:sz w:val="22"/>
        </w:rPr>
        <w:t>GA</w:t>
      </w:r>
      <w:r>
        <w:rPr>
          <w:rFonts w:ascii="Times New Roman" w:hAnsi="Times New Roman"/>
          <w:b w:val="0"/>
          <w:i w:val="0"/>
          <w:sz w:val="22"/>
        </w:rPr>
        <w:t xml:space="preserve">-guided optimizer across both tracks. The guardrail engine distinguishes between design constraints (six numbers computed before inference: </w:t>
      </w:r>
      <w:r>
        <w:rPr>
          <w:rFonts w:ascii="Times New Roman" w:hAnsi="Times New Roman"/>
          <w:b w:val="0"/>
          <w:i w:val="0"/>
          <w:sz w:val="22"/>
        </w:rPr>
        <w:t>Re</w:t>
      </w:r>
      <w:r>
        <w:rPr>
          <w:rFonts w:ascii="Times New Roman" w:hAnsi="Times New Roman"/>
          <w:b w:val="0"/>
          <w:i w:val="0"/>
          <w:sz w:val="22"/>
        </w:rPr>
        <w:t xml:space="preserve">, </w:t>
      </w:r>
      <w:r>
        <w:rPr>
          <w:rFonts w:ascii="Times New Roman" w:hAnsi="Times New Roman"/>
          <w:b w:val="0"/>
          <w:i w:val="0"/>
          <w:sz w:val="22"/>
        </w:rPr>
        <w:t>Ma</w:t>
      </w:r>
      <w:r>
        <w:rPr>
          <w:rFonts w:ascii="Times New Roman" w:hAnsi="Times New Roman"/>
          <w:b w:val="0"/>
          <w:i w:val="0"/>
          <w:sz w:val="22"/>
        </w:rPr>
        <w:t xml:space="preserve">, </w:t>
      </w:r>
      <w:r>
        <w:rPr>
          <w:rFonts w:ascii="Times New Roman" w:hAnsi="Times New Roman"/>
          <w:b w:val="0"/>
          <w:i w:val="0"/>
          <w:sz w:val="22"/>
        </w:rPr>
        <w:t>Eu</w:t>
      </w:r>
      <w:r>
        <w:rPr>
          <w:rFonts w:ascii="Times New Roman" w:hAnsi="Times New Roman"/>
          <w:b w:val="0"/>
          <w:i w:val="0"/>
          <w:sz w:val="22"/>
        </w:rPr>
        <w:t xml:space="preserve">, </w:t>
      </w:r>
      <w:r>
        <w:rPr>
          <w:rFonts w:ascii="Times New Roman" w:hAnsi="Times New Roman"/>
          <w:b w:val="0"/>
          <w:i w:val="0"/>
          <w:sz w:val="22"/>
        </w:rPr>
        <w:t>Da</w:t>
      </w:r>
      <w:r>
        <w:rPr>
          <w:rFonts w:ascii="Times New Roman" w:hAnsi="Times New Roman"/>
          <w:b w:val="0"/>
          <w:i w:val="0"/>
          <w:sz w:val="22"/>
        </w:rPr>
        <w:t xml:space="preserve">, </w:t>
      </w:r>
      <w:r>
        <w:rPr>
          <w:rFonts w:ascii="Times New Roman" w:hAnsi="Times New Roman"/>
          <w:b w:val="0"/>
          <w:i w:val="0"/>
          <w:sz w:val="22"/>
        </w:rPr>
        <w:t>Sc</w:t>
      </w:r>
      <w:r>
        <w:rPr>
          <w:rFonts w:ascii="Times New Roman" w:hAnsi="Times New Roman"/>
          <w:b w:val="0"/>
          <w:i w:val="0"/>
          <w:sz w:val="22"/>
        </w:rPr>
        <w:t xml:space="preserve">, </w:t>
      </w:r>
      <w:r>
        <w:rPr>
          <w:rFonts w:ascii="Times New Roman" w:hAnsi="Times New Roman"/>
          <w:b w:val="0"/>
          <w:i w:val="0"/>
          <w:sz w:val="22"/>
        </w:rPr>
        <w:t>Pe_m</w:t>
      </w:r>
      <w:r>
        <w:rPr>
          <w:rFonts w:ascii="Times New Roman" w:hAnsi="Times New Roman"/>
          <w:b w:val="0"/>
          <w:i w:val="0"/>
          <w:sz w:val="22"/>
        </w:rPr>
        <w:t xml:space="preserve">) and physical consistency validators (five numbers checked after inference: </w:t>
      </w:r>
      <w:r>
        <w:rPr>
          <w:rFonts w:ascii="Times New Roman" w:hAnsi="Times New Roman"/>
          <w:b w:val="0"/>
          <w:i w:val="0"/>
          <w:sz w:val="22"/>
        </w:rPr>
        <w:t>Pr</w:t>
      </w:r>
      <w:r>
        <w:rPr>
          <w:rFonts w:ascii="Times New Roman" w:hAnsi="Times New Roman"/>
          <w:b w:val="0"/>
          <w:i w:val="0"/>
          <w:sz w:val="22"/>
        </w:rPr>
        <w:t xml:space="preserve">, </w:t>
      </w:r>
      <w:r>
        <w:rPr>
          <w:rFonts w:ascii="Times New Roman" w:hAnsi="Times New Roman"/>
          <w:b w:val="0"/>
          <w:i w:val="0"/>
          <w:sz w:val="22"/>
        </w:rPr>
        <w:t>Pe_h</w:t>
      </w:r>
      <w:r>
        <w:rPr>
          <w:rFonts w:ascii="Times New Roman" w:hAnsi="Times New Roman"/>
          <w:b w:val="0"/>
          <w:i w:val="0"/>
          <w:sz w:val="22"/>
        </w:rPr>
        <w:t xml:space="preserve">, </w:t>
      </w:r>
      <w:r>
        <w:rPr>
          <w:rFonts w:ascii="Times New Roman" w:hAnsi="Times New Roman"/>
          <w:b w:val="0"/>
          <w:i w:val="0"/>
          <w:sz w:val="22"/>
        </w:rPr>
        <w:t>Nu</w:t>
      </w:r>
      <w:r>
        <w:rPr>
          <w:rFonts w:ascii="Times New Roman" w:hAnsi="Times New Roman"/>
          <w:b w:val="0"/>
          <w:i w:val="0"/>
          <w:sz w:val="22"/>
        </w:rPr>
        <w:t xml:space="preserve">, </w:t>
      </w:r>
      <w:r>
        <w:rPr>
          <w:rFonts w:ascii="Times New Roman" w:hAnsi="Times New Roman"/>
          <w:b w:val="0"/>
          <w:i w:val="0"/>
          <w:sz w:val="22"/>
        </w:rPr>
        <w:t>Bi</w:t>
      </w:r>
      <w:r>
        <w:rPr>
          <w:rFonts w:ascii="Times New Roman" w:hAnsi="Times New Roman"/>
          <w:b w:val="0"/>
          <w:i w:val="0"/>
          <w:sz w:val="22"/>
        </w:rPr>
        <w:t xml:space="preserve">, </w:t>
      </w:r>
      <w:r>
        <w:rPr>
          <w:rFonts w:ascii="Times New Roman" w:hAnsi="Times New Roman"/>
          <w:b w:val="0"/>
          <w:i w:val="0"/>
          <w:sz w:val="22"/>
        </w:rPr>
        <w:t>Sh</w:t>
      </w:r>
      <w:r>
        <w:rPr>
          <w:rFonts w:ascii="Times New Roman" w:hAnsi="Times New Roman"/>
          <w:b w:val="0"/>
          <w:i w:val="0"/>
          <w:sz w:val="22"/>
        </w:rPr>
        <w:t>), ensuring all recommendations are physically valid. All code and data are openly available at https://github.com/Ranaam21/cfd-ald-app.</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Topology matters more than accuracy. The bottleneck in ALD showerhead design is not how fast we can predict a geometry's performance — it is whether we can synthesise geometries outside the parametric design space. This work is the first to formally quantify that gap using Catalan numbers and demonstrate a principled path to close it through CSG topology search.</w:t>
            </w:r>
          </w:p>
        </w:tc>
      </w:tr>
    </w:tbl>
    <w:p>
      <w:pPr>
        <w:spacing w:after="120"/>
      </w:pPr>
    </w:p>
    <w:p>
      <w:pPr>
        <w:spacing w:before="240" w:after="80"/>
      </w:pPr>
      <w:r>
        <w:rPr>
          <w:rFonts w:ascii="Times New Roman" w:hAnsi="Times New Roman"/>
          <w:b/>
          <w:i w:val="0"/>
          <w:color w:val="003366"/>
          <w:sz w:val="28"/>
        </w:rPr>
        <w:t>Acknowledgements</w:t>
      </w:r>
    </w:p>
    <w:p>
      <w:pPr>
        <w:spacing w:after="120"/>
        <w:jc w:val="both"/>
      </w:pPr>
      <w:r>
        <w:rPr>
          <w:rFonts w:ascii="Times New Roman" w:hAnsi="Times New Roman"/>
          <w:b w:val="0"/>
          <w:i w:val="0"/>
          <w:sz w:val="22"/>
        </w:rPr>
        <w:t>The author thanks the OpenFOAM community for maintaining the reactingFoam solver and Docker images used in this work. Computational resources were provided via Google Colab. No external funding was received.</w:t>
      </w:r>
    </w:p>
    <w:p>
      <w:pPr>
        <w:spacing w:before="240" w:after="80"/>
      </w:pPr>
      <w:r>
        <w:rPr>
          <w:rFonts w:ascii="Times New Roman" w:hAnsi="Times New Roman"/>
          <w:b/>
          <w:i w:val="0"/>
          <w:color w:val="003366"/>
          <w:sz w:val="28"/>
        </w:rPr>
        <w:t>References</w:t>
      </w:r>
    </w:p>
    <w:p>
      <w:pPr>
        <w:spacing w:after="60"/>
        <w:ind w:left="283"/>
      </w:pPr>
      <w:r>
        <w:rPr>
          <w:rFonts w:ascii="Times New Roman" w:hAnsi="Times New Roman"/>
          <w:b w:val="0"/>
          <w:i w:val="0"/>
          <w:sz w:val="18"/>
        </w:rPr>
        <w:t>[1] Granneman, E. et al. Batch ALD: characteristics, comparison with single wafer ALD, and examples. Surf. Coat. Technol. 201(22–23), 8899–8907 (2007).</w:t>
      </w:r>
    </w:p>
    <w:p>
      <w:pPr>
        <w:spacing w:after="60"/>
        <w:ind w:left="283"/>
      </w:pPr>
      <w:r>
        <w:rPr>
          <w:rFonts w:ascii="Times New Roman" w:hAnsi="Times New Roman"/>
          <w:b w:val="0"/>
          <w:i w:val="0"/>
          <w:sz w:val="18"/>
        </w:rPr>
        <w:t>[2] Cremers, V. et al. Conformality in atomic layer deposition. Appl. Phys. Rev. 6(2), 021302 (2019).</w:t>
      </w:r>
    </w:p>
    <w:p>
      <w:pPr>
        <w:spacing w:after="60"/>
        <w:ind w:left="283"/>
      </w:pPr>
      <w:r>
        <w:rPr>
          <w:rFonts w:ascii="Times New Roman" w:hAnsi="Times New Roman"/>
          <w:b w:val="0"/>
          <w:i w:val="0"/>
          <w:sz w:val="18"/>
        </w:rPr>
        <w:t>[3] Pan, D. et al. Multiscale modeling of ALD of Al2O3. J. Vac. Sci. Technol. A 33(2), 021512 (2015).</w:t>
      </w:r>
    </w:p>
    <w:p>
      <w:pPr>
        <w:spacing w:after="60"/>
        <w:ind w:left="283"/>
      </w:pPr>
      <w:r>
        <w:rPr>
          <w:rFonts w:ascii="Times New Roman" w:hAnsi="Times New Roman"/>
          <w:b w:val="0"/>
          <w:i w:val="0"/>
          <w:sz w:val="18"/>
        </w:rPr>
        <w:t>[4] Argonne aldFoam. https://github.com/argonne-lcf/aldfoam (2020).</w:t>
      </w:r>
    </w:p>
    <w:p>
      <w:pPr>
        <w:spacing w:after="60"/>
        <w:ind w:left="283"/>
      </w:pPr>
      <w:r>
        <w:rPr>
          <w:rFonts w:ascii="Times New Roman" w:hAnsi="Times New Roman"/>
          <w:b w:val="0"/>
          <w:i w:val="0"/>
          <w:sz w:val="18"/>
        </w:rPr>
        <w:t>[5] OpenFOAM Foundation. OpenFOAM v2512. https://openfoam.org (2024).</w:t>
      </w:r>
    </w:p>
    <w:p>
      <w:pPr>
        <w:spacing w:after="60"/>
        <w:ind w:left="283"/>
      </w:pPr>
      <w:r>
        <w:rPr>
          <w:rFonts w:ascii="Times New Roman" w:hAnsi="Times New Roman"/>
          <w:b w:val="0"/>
          <w:i w:val="0"/>
          <w:sz w:val="18"/>
        </w:rPr>
        <w:t>[6] Pfaff, T. et al. Learning Mesh-Based Simulation with Graph Networks. ICLR 2021.</w:t>
      </w:r>
    </w:p>
    <w:p>
      <w:pPr>
        <w:spacing w:after="60"/>
        <w:ind w:left="283"/>
      </w:pPr>
      <w:r>
        <w:rPr>
          <w:rFonts w:ascii="Times New Roman" w:hAnsi="Times New Roman"/>
          <w:b w:val="0"/>
          <w:i w:val="0"/>
          <w:sz w:val="18"/>
        </w:rPr>
        <w:t>[7] Bonnet, F. et al. AirfRANS: High Fidelity CFD Dataset for RANS Approximation. NeurIPS 2022.</w:t>
      </w:r>
    </w:p>
    <w:p>
      <w:pPr>
        <w:spacing w:after="60"/>
        <w:ind w:left="283"/>
      </w:pPr>
      <w:r>
        <w:rPr>
          <w:rFonts w:ascii="Times New Roman" w:hAnsi="Times New Roman"/>
          <w:b w:val="0"/>
          <w:i w:val="0"/>
          <w:sz w:val="18"/>
        </w:rPr>
        <w:t>[8] Fey, M. &amp; Lenssen, J.E. Fast Graph Representation Learning with PyTorch Geometric. ICLR Workshop 2019.</w:t>
      </w:r>
    </w:p>
    <w:p>
      <w:pPr>
        <w:spacing w:after="60"/>
        <w:ind w:left="283"/>
      </w:pPr>
      <w:r>
        <w:rPr>
          <w:rFonts w:ascii="Times New Roman" w:hAnsi="Times New Roman"/>
          <w:b w:val="0"/>
          <w:i w:val="0"/>
          <w:sz w:val="18"/>
        </w:rPr>
        <w:t>[9] LEAP71. PicoGK open-source geometry kernel. https://github.com/leap71/PicoGK (2023).</w:t>
      </w:r>
    </w:p>
    <w:p>
      <w:pPr>
        <w:spacing w:after="60"/>
        <w:ind w:left="283"/>
      </w:pPr>
      <w:r>
        <w:rPr>
          <w:rFonts w:ascii="Times New Roman" w:hAnsi="Times New Roman"/>
          <w:b w:val="0"/>
          <w:i w:val="0"/>
          <w:sz w:val="18"/>
        </w:rPr>
        <w:t>[10] Lorensen, W.E. &amp; Cline, H.E. Marching cubes. ACM SIGGRAPH 21(4), 163–169 (1987).</w:t>
      </w:r>
    </w:p>
    <w:p>
      <w:pPr>
        <w:spacing w:after="60"/>
        <w:ind w:left="283"/>
      </w:pPr>
      <w:r>
        <w:rPr>
          <w:rFonts w:ascii="Times New Roman" w:hAnsi="Times New Roman"/>
          <w:b w:val="0"/>
          <w:i w:val="0"/>
          <w:sz w:val="18"/>
        </w:rPr>
        <w:t>[11] PyMCubes. https://github.com/pmneila/PyMCubes (2021).</w:t>
      </w:r>
    </w:p>
    <w:p>
      <w:pPr>
        <w:spacing w:after="60"/>
        <w:ind w:left="283"/>
      </w:pPr>
      <w:r>
        <w:rPr>
          <w:rFonts w:ascii="Times New Roman" w:hAnsi="Times New Roman"/>
          <w:b w:val="0"/>
          <w:i w:val="0"/>
          <w:sz w:val="18"/>
        </w:rPr>
        <w:t>[12] Zuckerman, N. &amp; Lior, N. Jet impingement heat transfer. Adv. Heat Transf. 39, 565–631 (2006).</w:t>
      </w:r>
    </w:p>
    <w:p>
      <w:pPr>
        <w:spacing w:after="60"/>
        <w:ind w:left="283"/>
      </w:pPr>
      <w:r>
        <w:rPr>
          <w:rFonts w:ascii="Times New Roman" w:hAnsi="Times New Roman"/>
          <w:b w:val="0"/>
          <w:i w:val="0"/>
          <w:sz w:val="18"/>
        </w:rPr>
        <w:t>[13] Sherwood number dataset. Mendeley Data. https://data.mendeley.com (2021).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