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8"/>
        </w:rPr>
        <w:t>Highlights — Chemical Engineering Journal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>Maximum 85 characters each (including spaces):</w:t>
      </w:r>
    </w:p>
    <w:p/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2"/>
        </w:rPr>
        <w:t xml:space="preserve">Highlight 1 (69 chars): </w:t>
      </w:r>
      <w:r>
        <w:rPr>
          <w:rFonts w:ascii="Times New Roman" w:hAnsi="Times New Roman"/>
          <w:b w:val="0"/>
          <w:i w:val="0"/>
          <w:sz w:val="22"/>
        </w:rPr>
        <w:t>Dual-track framework: parametric + CSG topology ALD showerhead design</w:t>
      </w:r>
      <w:r>
        <w:rPr>
          <w:rFonts w:ascii="Times New Roman" w:hAnsi="Times New Roman"/>
          <w:b w:val="0"/>
          <w:i/>
          <w:color w:val="008000"/>
          <w:sz w:val="18"/>
        </w:rPr>
        <w:t xml:space="preserve">  [✓ OK]</w:t>
      </w:r>
    </w:p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2"/>
        </w:rPr>
        <w:t xml:space="preserve">Highlight 2 (69 chars): </w:t>
      </w:r>
      <w:r>
        <w:rPr>
          <w:rFonts w:ascii="Times New Roman" w:hAnsi="Times New Roman"/>
          <w:b w:val="0"/>
          <w:i w:val="0"/>
          <w:sz w:val="22"/>
        </w:rPr>
        <w:t>Track 2 topology search achieves +130% TMA uniformity over parametric</w:t>
      </w:r>
      <w:r>
        <w:rPr>
          <w:rFonts w:ascii="Times New Roman" w:hAnsi="Times New Roman"/>
          <w:b w:val="0"/>
          <w:i/>
          <w:color w:val="008000"/>
          <w:sz w:val="18"/>
        </w:rPr>
        <w:t xml:space="preserve">  [✓ OK]</w:t>
      </w:r>
    </w:p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2"/>
        </w:rPr>
        <w:t xml:space="preserve">Highlight 3 (78 chars): </w:t>
      </w:r>
      <w:r>
        <w:rPr>
          <w:rFonts w:ascii="Times New Roman" w:hAnsi="Times New Roman"/>
          <w:b w:val="0"/>
          <w:i w:val="0"/>
          <w:sz w:val="22"/>
        </w:rPr>
        <w:t>Eleven physics guardrails (Re, Da, Eu, Pr, Sc, Pe, Ma) prevent invalid designs</w:t>
      </w:r>
      <w:r>
        <w:rPr>
          <w:rFonts w:ascii="Times New Roman" w:hAnsi="Times New Roman"/>
          <w:b w:val="0"/>
          <w:i/>
          <w:color w:val="008000"/>
          <w:sz w:val="18"/>
        </w:rPr>
        <w:t xml:space="preserve">  [✓ OK]</w:t>
      </w:r>
    </w:p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2"/>
        </w:rPr>
        <w:t xml:space="preserve">Highlight 4 (70 chars): </w:t>
      </w:r>
      <w:r>
        <w:rPr>
          <w:rFonts w:ascii="Times New Roman" w:hAnsi="Times New Roman"/>
          <w:b w:val="0"/>
          <w:i w:val="0"/>
          <w:sz w:val="22"/>
        </w:rPr>
        <w:t>Multi-fidelity KPI surrogate: out-of-fold Spearman rho = 0.947 (n=120)</w:t>
      </w:r>
      <w:r>
        <w:rPr>
          <w:rFonts w:ascii="Times New Roman" w:hAnsi="Times New Roman"/>
          <w:b w:val="0"/>
          <w:i/>
          <w:color w:val="008000"/>
          <w:sz w:val="18"/>
        </w:rPr>
        <w:t xml:space="preserve">  [✓ OK]</w:t>
      </w:r>
    </w:p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2"/>
        </w:rPr>
        <w:t xml:space="preserve">Highlight 5 (58 chars): </w:t>
      </w:r>
      <w:r>
        <w:rPr>
          <w:rFonts w:ascii="Times New Roman" w:hAnsi="Times New Roman"/>
          <w:b w:val="0"/>
          <w:i w:val="0"/>
          <w:sz w:val="22"/>
        </w:rPr>
        <w:t>All 123 OpenFOAM cases and code openly available on GitHub</w:t>
      </w:r>
      <w:r>
        <w:rPr>
          <w:rFonts w:ascii="Times New Roman" w:hAnsi="Times New Roman"/>
          <w:b w:val="0"/>
          <w:i/>
          <w:color w:val="008000"/>
          <w:sz w:val="18"/>
        </w:rPr>
        <w:t xml:space="preserve">  [✓ OK]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