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3587" w:rsidRDefault="00000000">
      <w:pPr>
        <w:jc w:val="center"/>
      </w:pPr>
      <w:r>
        <w:rPr>
          <w:rFonts w:ascii="Times New Roman" w:hAnsi="Times New Roman"/>
          <w:b/>
          <w:color w:val="003366"/>
          <w:sz w:val="32"/>
        </w:rPr>
        <w:t>Atomic Layer Deposition Showerhead Geometry Optimisation via a Physics-Guardrailed Dual-Track Surrogate Framework: Parametric and Topology-Variable CSG Search</w:t>
      </w:r>
    </w:p>
    <w:p w:rsidR="00C03587" w:rsidRDefault="00000000">
      <w:pPr>
        <w:jc w:val="center"/>
      </w:pPr>
      <w:r>
        <w:rPr>
          <w:rFonts w:ascii="Times New Roman" w:hAnsi="Times New Roman"/>
          <w:b/>
          <w:sz w:val="24"/>
        </w:rPr>
        <w:t>Amit Rana</w:t>
      </w:r>
    </w:p>
    <w:p w:rsidR="00F600D5" w:rsidRDefault="00F600D5" w:rsidP="00F600D5">
      <w:pPr>
        <w:spacing w:after="40"/>
        <w:jc w:val="center"/>
      </w:pPr>
      <w:r>
        <w:t>Independent Researcher</w:t>
      </w:r>
    </w:p>
    <w:p w:rsidR="00F600D5" w:rsidRDefault="00F600D5" w:rsidP="00F600D5">
      <w:pPr>
        <w:spacing w:after="60"/>
        <w:jc w:val="center"/>
      </w:pPr>
      <w:r>
        <w:t>Santa Clara, California, USA</w:t>
      </w:r>
    </w:p>
    <w:p w:rsidR="00C03587" w:rsidRDefault="00F600D5" w:rsidP="00F600D5">
      <w:pPr>
        <w:spacing w:line="360" w:lineRule="auto"/>
        <w:jc w:val="center"/>
      </w:pPr>
      <w:r>
        <w:rPr>
          <w:sz w:val="18"/>
        </w:rPr>
        <w:t>ORCID: 0009-0008-5998-6560   |   amit21aim@zohomail.com</w:t>
      </w:r>
      <w:r>
        <w:rPr>
          <w:rFonts w:ascii="Times New Roman" w:hAnsi="Times New Roman"/>
          <w:i/>
          <w:sz w:val="20"/>
        </w:rPr>
        <w:br/>
        <w:t>Jun 2026</w:t>
      </w:r>
    </w:p>
    <w:p w:rsidR="00C03587" w:rsidRDefault="00000000">
      <w:pPr>
        <w:spacing w:before="240" w:after="80"/>
      </w:pPr>
      <w:r>
        <w:rPr>
          <w:rFonts w:ascii="Times New Roman" w:hAnsi="Times New Roman"/>
          <w:b/>
          <w:color w:val="003366"/>
          <w:sz w:val="28"/>
        </w:rPr>
        <w:t>Abstract</w:t>
      </w:r>
    </w:p>
    <w:p w:rsidR="00C03587" w:rsidRDefault="00000000">
      <w:pPr>
        <w:spacing w:after="120"/>
        <w:jc w:val="both"/>
      </w:pPr>
      <w:r>
        <w:rPr>
          <w:rFonts w:ascii="Times New Roman" w:hAnsi="Times New Roman"/>
        </w:rPr>
        <w:t>Showerhead geometry is the primary determinant of precursor uniformity in Atomic Layer Deposition (ALD) reactors, yet current design practice relies on engineering intuition and Computational Fluid Dynamics (CFD) simulations taking 6–10 hours each. This work demonstrates that topology-level geometry change — not parametric tuning — is the binding constraint on ALD uniformity: an annular-ring showerhead achieves a TMA (Trimethylaluminium) Uniformity Index (TMA-UI) of 0.792, a 130% improvement over the best hex-array parametric design (0.344), and this geometry cannot be reached by any nozzle parameter adjustment. To discover such topologically distinct solutions efficiently, we develop a physics-guardrailed dual-track surrogate framework that evaluates candidate geometries in seconds rather than hours. Track 1 (PCGM — Physics-Constrained Geometric Morphogenesis) searches a continuous parametric hex nozzle array design space. Track 2 (VICES — Voxel-Implicit Computational Engineering Synthesis) synthesises topologically novel geometries via Constructive Solid Geometry (CSG) boolean operations on Signed Distance Fields (SDF), followed by Marching Cubes triangulation, spanning four showerhead topology families. A multi-head Graph Neural Network (GNN) surrogate, trained on 123 OpenFOAM reactingFoam cases, predicts velocity, pressure, temperature, and species concentration fields. An eleven-parameter guardrail engine enforces dimensionless constraints (Re, Ma, Eu, Pr, Nu, Bi, Sc, Sh, Pe_h, Pe_m, Da), rejecting physically inadmissible candidates before evaluation. A multi-fidelity KPI surrogate achieves out-of-fold Spearman correlation rho = 0.947 on held-out cases. The framework reduces ALD showerhead design cycles from weeks of CFD to minutes of surrogate-guided search, with physics guardrails ensuring regime validity throughout.</w:t>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sidRPr="00DF56AD">
        <w:rPr>
          <w:rFonts w:ascii="Times New Roman" w:hAnsi="Times New Roman"/>
          <w:b/>
          <w:bCs/>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Pr>
          <w:rFonts w:ascii="Times New Roman" w:hAnsi="Times New Roman"/>
          <w:b/>
        </w:rPr>
      </w:r>
      <w:r>
        <w:rPr>
          <w:rFonts w:ascii="Times New Roman" w:hAnsi="Times New Roman"/>
        </w:rPr>
      </w:r>
      <w:r w:rsidRPr="00DF56AD">
        <w:rPr>
          <w:rFonts w:ascii="Times New Roman" w:hAnsi="Times New Roman"/>
          <w:b/>
          <w:bCs/>
        </w:rPr>
      </w:r>
      <w:r>
        <w:rPr>
          <w:rFonts w:ascii="Times New Roman" w:hAnsi="Times New Roman"/>
        </w:rPr>
      </w:r>
      <w:r>
        <w:rPr>
          <w:rFonts w:ascii="Times New Roman" w:hAnsi="Times New Roman"/>
          <w:b/>
        </w:rPr>
      </w:r>
      <w:r w:rsidR="00FA04D9">
        <w:rPr>
          <w:rFonts w:ascii="Times New Roman" w:hAnsi="Times New Roman"/>
          <w:b/>
        </w:rPr>
      </w:r>
      <w:r w:rsidR="00FA04D9">
        <w:rPr>
          <w:rFonts w:ascii="Times New Roman" w:hAnsi="Times New Roman"/>
        </w:rPr>
      </w:r>
      <w:proofErr w:type="gramStart"/>
      <w:r w:rsidR="00FA04D9">
        <w:rPr>
          <w:rFonts w:ascii="Times New Roman" w:hAnsi="Times New Roman"/>
        </w:rPr>
      </w:r>
      <w:proofErr w:type="gramEnd"/>
      <w:r w:rsidR="00FA04D9">
        <w:rPr>
          <w:rFonts w:ascii="Times New Roman" w:hAnsi="Times New Roman"/>
        </w:rPr>
      </w:r>
      <w:r w:rsidR="00FA04D9">
        <w:rPr>
          <w:rFonts w:ascii="Times New Roman" w:hAnsi="Times New Roman"/>
          <w:b/>
        </w:rPr>
      </w:r>
      <w:r>
        <w:rPr>
          <w:rFonts w:ascii="Times New Roman" w:hAnsi="Times New Roman"/>
        </w:rPr>
      </w:r>
      <w:r w:rsidRPr="00DF56AD">
        <w:rPr>
          <w:rFonts w:ascii="Times New Roman" w:hAnsi="Times New Roman"/>
          <w:b/>
          <w:bCs/>
        </w:rPr>
      </w:r>
      <w:r>
        <w:rPr>
          <w:rFonts w:ascii="Times New Roman" w:hAnsi="Times New Roman"/>
        </w:rPr>
      </w:r>
    </w:p>
    <w:p w:rsidR="00C03587" w:rsidRDefault="00000000">
      <w:pPr>
        <w:rPr>
          <w:rFonts w:ascii="Times New Roman" w:hAnsi="Times New Roman"/>
          <w:i/>
        </w:rPr>
      </w:pPr>
      <w:r>
        <w:rPr>
          <w:rFonts w:ascii="Times New Roman" w:hAnsi="Times New Roman"/>
          <w:b/>
        </w:rPr>
        <w:t xml:space="preserve">Keywords: </w:t>
      </w:r>
      <w:r>
        <w:rPr>
          <w:rFonts w:ascii="Times New Roman" w:hAnsi="Times New Roman"/>
          <w:i/>
        </w:rPr>
        <w:t xml:space="preserve">Atomic Layer Deposition; Graph Neural Network surrogate; Constructive Solid Geometry; Signed Distance Field; Marching Cubes; Physics guardrails; Showerhead </w:t>
      </w:r>
      <w:proofErr w:type="spellStart"/>
      <w:r>
        <w:rPr>
          <w:rFonts w:ascii="Times New Roman" w:hAnsi="Times New Roman"/>
          <w:i/>
        </w:rPr>
        <w:t>optimisation</w:t>
      </w:r>
      <w:proofErr w:type="spellEnd"/>
      <w:r>
        <w:rPr>
          <w:rFonts w:ascii="Times New Roman" w:hAnsi="Times New Roman"/>
          <w:i/>
        </w:rPr>
        <w:t>; OpenFOAM; Dimensionless numbers</w:t>
      </w:r>
    </w:p>
    <w:p w:rsidR="00741AFD" w:rsidRDefault="00741AFD"/>
    <w:p w:rsidR="00C03587" w:rsidRDefault="00C03587"/>
    <w:p w:rsidR="00C03587" w:rsidRDefault="00000000">
      <w:pPr>
        <w:spacing w:before="240" w:after="80"/>
      </w:pPr>
      <w:r>
        <w:rPr>
          <w:rFonts w:ascii="Times New Roman" w:hAnsi="Times New Roman"/>
          <w:b/>
          <w:color w:val="003366"/>
          <w:sz w:val="28"/>
        </w:rPr>
        <w:lastRenderedPageBreak/>
        <w:t>1. Introduction</w:t>
      </w:r>
    </w:p>
    <w:p w:rsidR="00C03587" w:rsidRDefault="00000000">
      <w:pPr>
        <w:spacing w:after="120"/>
        <w:jc w:val="both"/>
      </w:pPr>
      <w:r>
        <w:rPr>
          <w:rFonts w:ascii="Times New Roman" w:hAnsi="Times New Roman"/>
        </w:rPr>
        <w:t>ALD is the enabling deposition technology for advanced semiconductor nodes below 5 nanometres, solid-state battery electrolytes, and flexible electronics [1,2]. Its defining feature is self-limitation: each half-cycle saturates the wafer surface with exactly one monolayer of precursor, then a co-reactant completes the reaction. This mechanism delivers atomic-precision thickness control, but only if the precursor gas — Trimethylaluminium (TMA, Al(CH3)3) for aluminium oxide films — arrives uniformly at every point on the wafer in every cycle. Non-uniformity directly causes spatially varying film thickness, a device-killing defect at the nanoscale.</w:t>
      </w:r>
    </w:p>
    <w:p w:rsidR="00C03587" w:rsidRDefault="00000000">
      <w:pPr>
        <w:spacing w:after="120"/>
        <w:jc w:val="both"/>
      </w:pPr>
      <w:r>
        <w:rPr>
          <w:rFonts w:ascii="Times New Roman" w:hAnsi="Times New Roman"/>
        </w:rPr>
        <w:t>The showerhead — a perforated faceplate through which precursor gas is injected — is the component that determines this uniformity. Its geometry (nozzle diameter, spacing pattern, plenum shape, internal features) controls the three-dimensional gas flow field that delivers precursor to the wafer. Despite its critical importance, showerhead design today remains largely manual: an engineer proposes a geometry, runs a CFD simulation (6–10 hours per design), analyses the result, and adjusts. This loop explores only a tiny fraction of the design space and is constrained to one topology family.</w:t>
      </w:r>
    </w:p>
    <w:p w:rsidR="00C03587" w:rsidRDefault="00000000">
      <w:pPr>
        <w:spacing w:before="240" w:after="80"/>
      </w:pPr>
      <w:r>
        <w:rPr>
          <w:rFonts w:ascii="Times New Roman" w:hAnsi="Times New Roman"/>
          <w:b/>
          <w:color w:val="005082"/>
          <w:sz w:val="24"/>
        </w:rPr>
        <w:t>1.1 A Geometric Approach — Not a Physics Solver</w:t>
      </w:r>
    </w:p>
    <w:p w:rsidR="00C03587" w:rsidRDefault="00000000">
      <w:pPr>
        <w:spacing w:after="120"/>
        <w:jc w:val="both"/>
      </w:pPr>
      <w:r>
        <w:rPr>
          <w:rFonts w:ascii="Times New Roman" w:hAnsi="Times New Roman"/>
        </w:rPr>
        <w:t>Before describing the framework, it is important to position this work correctly relative to other machine learning approaches to CFD. A large body of recent literature focuses on Physics-Informed Neural Networks (PINNs) and neural PDE solvers — methods that embed the Navier-Stokes equations as loss terms and learn to solve them faster or more accurately. This work is fundamentally different, and the distinction matters.</w:t>
      </w:r>
    </w:p>
    <w:tbl>
      <w:tblPr>
        <w:tblStyle w:val="TableGrid"/>
        <w:tblW w:w="0" w:type="auto"/>
        <w:tblLook w:val="04A0" w:firstRow="1" w:lastRow="0" w:firstColumn="1" w:lastColumn="0" w:noHBand="0" w:noVBand="1"/>
      </w:tblPr>
      <w:tblGrid>
        <w:gridCol w:w="4414"/>
        <w:gridCol w:w="4414"/>
      </w:tblGrid>
      <w:tr w:rsidR="00C03587">
        <w:tc>
          <w:tcPr>
            <w:tcW w:w="4419" w:type="dxa"/>
          </w:tcPr>
          <w:p w:rsidR="00C03587" w:rsidRDefault="00000000">
            <w:r>
              <w:rPr>
                <w:b/>
                <w:sz w:val="18"/>
              </w:rPr>
              <w:t>PINN / Custom Solver Approach</w:t>
            </w:r>
          </w:p>
        </w:tc>
        <w:tc>
          <w:tcPr>
            <w:tcW w:w="4419" w:type="dxa"/>
          </w:tcPr>
          <w:p w:rsidR="00C03587" w:rsidRDefault="00000000">
            <w:r>
              <w:rPr>
                <w:b/>
                <w:sz w:val="18"/>
              </w:rPr>
              <w:t>This Work — Geometric Topology Search</w:t>
            </w:r>
          </w:p>
        </w:tc>
      </w:tr>
      <w:tr w:rsidR="00C03587">
        <w:tc>
          <w:tcPr>
            <w:tcW w:w="4419" w:type="dxa"/>
          </w:tcPr>
          <w:p w:rsidR="00C03587" w:rsidRDefault="00000000">
            <w:r>
              <w:rPr>
                <w:sz w:val="18"/>
              </w:rPr>
              <w:t>Takes a fixed geometry as input</w:t>
            </w:r>
          </w:p>
        </w:tc>
        <w:tc>
          <w:tcPr>
            <w:tcW w:w="4419" w:type="dxa"/>
          </w:tcPr>
          <w:p w:rsidR="00C03587" w:rsidRDefault="00000000">
            <w:r>
              <w:rPr>
                <w:sz w:val="18"/>
              </w:rPr>
              <w:t>Generates geometries that did not previously exist</w:t>
            </w:r>
          </w:p>
        </w:tc>
      </w:tr>
      <w:tr w:rsidR="00C03587">
        <w:tc>
          <w:tcPr>
            <w:tcW w:w="4419" w:type="dxa"/>
          </w:tcPr>
          <w:p w:rsidR="00C03587" w:rsidRDefault="00000000">
            <w:r>
              <w:rPr>
                <w:sz w:val="18"/>
              </w:rPr>
              <w:t>Learns to solve Navier-Stokes faster or more accurately</w:t>
            </w:r>
          </w:p>
        </w:tc>
        <w:tc>
          <w:tcPr>
            <w:tcW w:w="4419" w:type="dxa"/>
          </w:tcPr>
          <w:p w:rsidR="00C03587" w:rsidRDefault="00000000">
            <w:r>
              <w:rPr>
                <w:sz w:val="18"/>
              </w:rPr>
              <w:t>Explores a topology space formally bounded by Catalan numbers</w:t>
            </w:r>
          </w:p>
        </w:tc>
      </w:tr>
      <w:tr w:rsidR="00C03587">
        <w:tc>
          <w:tcPr>
            <w:tcW w:w="4419" w:type="dxa"/>
          </w:tcPr>
          <w:p w:rsidR="00C03587" w:rsidRDefault="00000000">
            <w:r>
              <w:rPr>
                <w:sz w:val="18"/>
              </w:rPr>
              <w:t>Novelty = better physics prediction quality</w:t>
            </w:r>
          </w:p>
        </w:tc>
        <w:tc>
          <w:tcPr>
            <w:tcW w:w="4419" w:type="dxa"/>
          </w:tcPr>
          <w:p w:rsidR="00C03587" w:rsidRDefault="00000000">
            <w:r>
              <w:rPr>
                <w:sz w:val="18"/>
              </w:rPr>
              <w:t>Novelty = access to designs parametric tools cannot reach</w:t>
            </w:r>
          </w:p>
        </w:tc>
      </w:tr>
      <w:tr w:rsidR="00C03587">
        <w:tc>
          <w:tcPr>
            <w:tcW w:w="4419" w:type="dxa"/>
          </w:tcPr>
          <w:p w:rsidR="00C03587" w:rsidRDefault="00000000">
            <w:r>
              <w:rPr>
                <w:sz w:val="18"/>
              </w:rPr>
              <w:t>Design space: unchanged</w:t>
            </w:r>
          </w:p>
        </w:tc>
        <w:tc>
          <w:tcPr>
            <w:tcW w:w="4419" w:type="dxa"/>
          </w:tcPr>
          <w:p w:rsidR="00C03587" w:rsidRDefault="00000000">
            <w:r>
              <w:rPr>
                <w:sz w:val="18"/>
              </w:rPr>
              <w:t>Design space: expanded — new topological families synthesised</w:t>
            </w:r>
          </w:p>
        </w:tc>
      </w:tr>
    </w:tbl>
    <w:p w:rsidR="00C03587" w:rsidRDefault="00000000">
      <w:pPr>
        <w:spacing w:after="160"/>
        <w:jc w:val="center"/>
      </w:pPr>
      <w:r>
        <w:rPr>
          <w:rFonts w:ascii="Times New Roman" w:hAnsi="Times New Roman"/>
          <w:i/>
          <w:sz w:val="18"/>
        </w:rPr>
        <w:t>Table 0 — This work vs PINN/solver approaches. The distinction is not in how accurately we predict flow — it is in which designs we can reach.</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The geometry IS the contribution — the surrogate just measures it.</w:t>
            </w:r>
            <w:r>
              <w:rPr>
                <w:rFonts w:ascii="Times New Roman" w:hAnsi="Times New Roman"/>
                <w:b/>
                <w:color w:val="34495E"/>
                <w:sz w:val="20"/>
              </w:rPr>
              <w:br/>
            </w:r>
            <w:r>
              <w:rPr>
                <w:rFonts w:ascii="Times New Roman" w:hAnsi="Times New Roman"/>
                <w:i/>
                <w:color w:val="2C3E50"/>
                <w:sz w:val="20"/>
              </w:rPr>
              <w:t>"Consider the central result: Track 2 achieves +130% TMA uniformity over Track 1. This improvement does not come from a better surrogate model. It comes from the fact that the annular-ring nozzle pattern physically cannot be represented by any hex-array parameter setting — no matter how many sliders you move. The geometry itself unlocks the performance. The surrogate simply evaluates it quickly. A fundamental principle in computational engineering design states: the bottleneck is not analysis speed — it is the ability to synthesise geometries outside the engineer's mental model. Our Catalan number characterisation formally proves why parametric tools miss these designs: for n primitives, C(n-1) distinct CSG</w:t>
            </w:r>
            <w:r w:rsidR="004E5BB9">
              <w:rPr>
                <w:rFonts w:ascii="Times New Roman" w:hAnsi="Times New Roman"/>
                <w:i/>
                <w:color w:val="2C3E50"/>
                <w:sz w:val="20"/>
              </w:rPr>
              <w:t xml:space="preserve"> (</w:t>
            </w:r>
            <w:r w:rsidR="004E5BB9" w:rsidRPr="004E5BB9">
              <w:rPr>
                <w:rFonts w:ascii="Times New Roman" w:hAnsi="Times New Roman"/>
                <w:i/>
                <w:color w:val="2C3E50"/>
                <w:sz w:val="20"/>
              </w:rPr>
              <w:t>Constructive Solid Geometry</w:t>
            </w:r>
            <w:r w:rsidR="004E5BB9">
              <w:rPr>
                <w:rFonts w:ascii="Times New Roman" w:hAnsi="Times New Roman"/>
                <w:i/>
                <w:color w:val="2C3E50"/>
                <w:sz w:val="20"/>
              </w:rPr>
              <w:t>)</w:t>
            </w:r>
            <w:r>
              <w:rPr>
                <w:rFonts w:ascii="Times New Roman" w:hAnsi="Times New Roman"/>
                <w:i/>
                <w:color w:val="2C3E50"/>
                <w:sz w:val="20"/>
              </w:rPr>
              <w:t xml:space="preserve"> tree topologies exist, and every parametric tool is locked to exactly one of them."</w:t>
            </w:r>
          </w:p>
        </w:tc>
      </w:tr>
    </w:tbl>
    <w:p w:rsidR="00C03587" w:rsidRDefault="00C03587">
      <w:pPr>
        <w:spacing w:after="120"/>
      </w:pPr>
    </w:p>
    <w:p w:rsidR="00C03587" w:rsidRDefault="00000000">
      <w:pPr>
        <w:spacing w:after="120"/>
        <w:jc w:val="both"/>
      </w:pPr>
      <w:r>
        <w:rPr>
          <w:rFonts w:ascii="Times New Roman" w:hAnsi="Times New Roman"/>
        </w:rPr>
        <w:t>We present a dual-track surrogate framework with two distinct geometry synthesis approaches:</w:t>
      </w:r>
    </w:p>
    <w:p w:rsidR="00C03587" w:rsidRDefault="00000000">
      <w:pPr>
        <w:pStyle w:val="ListBullet"/>
        <w:spacing w:after="60"/>
        <w:jc w:val="both"/>
      </w:pPr>
      <w:r>
        <w:rPr>
          <w:rFonts w:ascii="Times New Roman" w:hAnsi="Times New Roman"/>
          <w:b/>
        </w:rPr>
        <w:lastRenderedPageBreak/>
        <w:t xml:space="preserve">Track 1 — PCGM (Physics-Constrained Geometric Morphogenesis): </w:t>
      </w:r>
      <w:r>
        <w:rPr>
          <w:rFonts w:ascii="Times New Roman" w:hAnsi="Times New Roman"/>
        </w:rPr>
        <w:t>a parametric approach. The showerhead geometry is described by a small set of continuous sliders — nozzle diameter, hole spacing, plenum height, faceplate thickness, and standoff gap. PCGM generates a hex-pattern nozzle array from these parameters and evaluates it with a GNN surrogate in seconds. Think of this as the engineer's traditional design space: you adjust familiar parameters and observe how performance changes. The topology — the fundamental arrangement and connectivity of the internal geometry — is fixed.</w:t>
      </w:r>
    </w:p>
    <w:p w:rsidR="00C03587" w:rsidRDefault="00000000">
      <w:pPr>
        <w:pStyle w:val="ListBullet"/>
        <w:spacing w:after="60"/>
        <w:jc w:val="both"/>
      </w:pPr>
      <w:r>
        <w:rPr>
          <w:rFonts w:ascii="Times New Roman" w:hAnsi="Times New Roman"/>
          <w:b/>
        </w:rPr>
        <w:t xml:space="preserve">Track 2 — VICES (Voxel-Implicit Computational Engineering Synthesis): </w:t>
      </w:r>
      <w:r>
        <w:rPr>
          <w:rFonts w:ascii="Times New Roman" w:hAnsi="Times New Roman"/>
        </w:rPr>
        <w:t xml:space="preserve">a geometric synthesis approach. Instead of sliders, VICES builds showerhead geometries from scratch using </w:t>
      </w:r>
      <w:r w:rsidR="007F280F" w:rsidRPr="007F280F">
        <w:rPr>
          <w:rFonts w:ascii="Times New Roman" w:hAnsi="Times New Roman"/>
          <w:b/>
          <w:bCs/>
          <w:i/>
        </w:rPr>
        <w:t>Constructive Solid Geometry</w:t>
      </w:r>
      <w:r w:rsidR="007F280F" w:rsidRPr="007F280F">
        <w:rPr>
          <w:rFonts w:ascii="Times New Roman" w:hAnsi="Times New Roman"/>
        </w:rPr>
        <w:t xml:space="preserve"> </w:t>
      </w:r>
      <w:r>
        <w:rPr>
          <w:rFonts w:ascii="Times New Roman" w:hAnsi="Times New Roman"/>
        </w:rPr>
        <w:t>(CSG) — combining primitive shapes (cylinders, cones, boxes) through boolean operations (union, subtract, intersect) to create four fundamentally different topology families: baffled plenums, conical diffusers, annular ring nozzle arrays, and two-zone split plenums. These are not variations of the hex array — they are structurally different showerhead architectures that no parameter setting in Track 1 can produce.</w:t>
      </w:r>
    </w:p>
    <w:p w:rsidR="00F06AC7" w:rsidRDefault="00926628" w:rsidP="00926628">
      <w:pPr>
        <w:spacing w:after="120"/>
        <w:jc w:val="both"/>
        <w:rPr>
          <w:rFonts w:ascii="Times New Roman" w:hAnsi="Times New Roman"/>
        </w:rPr>
      </w:pPr>
      <w:r w:rsidRPr="00926628">
        <w:rPr>
          <w:rFonts w:ascii="Times New Roman" w:hAnsi="Times New Roman"/>
        </w:rPr>
        <w:t xml:space="preserve">Both tracks share the same physics calculator, </w:t>
      </w:r>
      <w:r w:rsidRPr="00926628">
        <w:rPr>
          <w:rFonts w:ascii="Times New Roman" w:hAnsi="Times New Roman"/>
          <w:b/>
          <w:bCs/>
        </w:rPr>
        <w:t>Graph Neural Network</w:t>
      </w:r>
      <w:r w:rsidRPr="00926628">
        <w:rPr>
          <w:rFonts w:ascii="Times New Roman" w:hAnsi="Times New Roman"/>
        </w:rPr>
        <w:t xml:space="preserve"> (GNN) surrogate, </w:t>
      </w:r>
      <w:r w:rsidRPr="00926628">
        <w:rPr>
          <w:rFonts w:ascii="Times New Roman" w:hAnsi="Times New Roman"/>
          <w:b/>
          <w:bCs/>
        </w:rPr>
        <w:t xml:space="preserve">physics guardrail engine </w:t>
      </w:r>
      <w:r w:rsidRPr="00926628">
        <w:rPr>
          <w:rFonts w:ascii="Times New Roman" w:hAnsi="Times New Roman"/>
        </w:rPr>
        <w:t xml:space="preserve">— enforcing </w:t>
      </w:r>
      <w:r>
        <w:rPr>
          <w:rFonts w:ascii="Times New Roman" w:hAnsi="Times New Roman"/>
          <w:b/>
          <w:bCs/>
        </w:rPr>
        <w:t>11</w:t>
      </w:r>
      <w:r w:rsidRPr="00926628">
        <w:rPr>
          <w:rFonts w:ascii="Times New Roman" w:hAnsi="Times New Roman"/>
          <w:b/>
          <w:bCs/>
        </w:rPr>
        <w:t xml:space="preserve"> dimensionless constraints </w:t>
      </w:r>
      <w:r w:rsidRPr="00926628">
        <w:rPr>
          <w:rFonts w:ascii="Times New Roman" w:hAnsi="Times New Roman"/>
        </w:rPr>
        <w:t xml:space="preserve">(Reynolds Re, Mach Ma, Euler Eu, Prandtl </w:t>
      </w:r>
      <w:proofErr w:type="spellStart"/>
      <w:r w:rsidRPr="00926628">
        <w:rPr>
          <w:rFonts w:ascii="Times New Roman" w:hAnsi="Times New Roman"/>
        </w:rPr>
        <w:t>Pr</w:t>
      </w:r>
      <w:proofErr w:type="spellEnd"/>
      <w:r w:rsidRPr="00926628">
        <w:rPr>
          <w:rFonts w:ascii="Times New Roman" w:hAnsi="Times New Roman"/>
        </w:rPr>
        <w:t xml:space="preserve">, Nusselt Nu, </w:t>
      </w:r>
      <w:proofErr w:type="spellStart"/>
      <w:r w:rsidRPr="00926628">
        <w:rPr>
          <w:rFonts w:ascii="Times New Roman" w:hAnsi="Times New Roman"/>
        </w:rPr>
        <w:t>Biot</w:t>
      </w:r>
      <w:proofErr w:type="spellEnd"/>
      <w:r w:rsidRPr="00926628">
        <w:rPr>
          <w:rFonts w:ascii="Times New Roman" w:hAnsi="Times New Roman"/>
        </w:rPr>
        <w:t xml:space="preserve"> Bi, Schmidt Sc,</w:t>
      </w:r>
      <w:r>
        <w:rPr>
          <w:rFonts w:ascii="Times New Roman" w:hAnsi="Times New Roman"/>
        </w:rPr>
        <w:t xml:space="preserve"> </w:t>
      </w:r>
      <w:r w:rsidRPr="00926628">
        <w:rPr>
          <w:rFonts w:ascii="Times New Roman" w:hAnsi="Times New Roman"/>
        </w:rPr>
        <w:t xml:space="preserve">Sherwood </w:t>
      </w:r>
      <w:proofErr w:type="spellStart"/>
      <w:r w:rsidRPr="00926628">
        <w:rPr>
          <w:rFonts w:ascii="Times New Roman" w:hAnsi="Times New Roman"/>
        </w:rPr>
        <w:t>Sh</w:t>
      </w:r>
      <w:proofErr w:type="spellEnd"/>
      <w:r w:rsidRPr="00926628">
        <w:rPr>
          <w:rFonts w:ascii="Times New Roman" w:hAnsi="Times New Roman"/>
        </w:rPr>
        <w:t xml:space="preserve">, </w:t>
      </w:r>
      <w:proofErr w:type="spellStart"/>
      <w:r w:rsidRPr="00926628">
        <w:rPr>
          <w:rFonts w:ascii="Times New Roman" w:hAnsi="Times New Roman"/>
        </w:rPr>
        <w:t>Péclet</w:t>
      </w:r>
      <w:proofErr w:type="spellEnd"/>
      <w:r w:rsidRPr="00926628">
        <w:rPr>
          <w:rFonts w:ascii="Times New Roman" w:hAnsi="Times New Roman"/>
        </w:rPr>
        <w:t xml:space="preserve"> </w:t>
      </w:r>
      <w:proofErr w:type="spellStart"/>
      <w:r w:rsidRPr="00926628">
        <w:rPr>
          <w:rFonts w:ascii="Times New Roman" w:hAnsi="Times New Roman"/>
        </w:rPr>
        <w:t>Pe_h</w:t>
      </w:r>
      <w:proofErr w:type="spellEnd"/>
      <w:r w:rsidRPr="00926628">
        <w:rPr>
          <w:rFonts w:ascii="Times New Roman" w:hAnsi="Times New Roman"/>
        </w:rPr>
        <w:t xml:space="preserve"> and </w:t>
      </w:r>
      <w:proofErr w:type="spellStart"/>
      <w:r w:rsidRPr="00926628">
        <w:rPr>
          <w:rFonts w:ascii="Times New Roman" w:hAnsi="Times New Roman"/>
        </w:rPr>
        <w:t>Pe_m</w:t>
      </w:r>
      <w:proofErr w:type="spellEnd"/>
      <w:r w:rsidRPr="00926628">
        <w:rPr>
          <w:rFonts w:ascii="Times New Roman" w:hAnsi="Times New Roman"/>
        </w:rPr>
        <w:t xml:space="preserve">, </w:t>
      </w:r>
      <w:proofErr w:type="spellStart"/>
      <w:r w:rsidRPr="00926628">
        <w:rPr>
          <w:rFonts w:ascii="Times New Roman" w:hAnsi="Times New Roman"/>
        </w:rPr>
        <w:t>Damköhler</w:t>
      </w:r>
      <w:proofErr w:type="spellEnd"/>
      <w:r w:rsidRPr="00926628">
        <w:rPr>
          <w:rFonts w:ascii="Times New Roman" w:hAnsi="Times New Roman"/>
        </w:rPr>
        <w:t xml:space="preserve"> Da) and </w:t>
      </w:r>
      <w:r w:rsidRPr="00926628">
        <w:rPr>
          <w:rFonts w:ascii="Times New Roman" w:hAnsi="Times New Roman"/>
          <w:b/>
          <w:bCs/>
        </w:rPr>
        <w:t>Genetic Algorithm (GA)-</w:t>
      </w:r>
      <w:r w:rsidRPr="00926628">
        <w:rPr>
          <w:rFonts w:ascii="Times New Roman" w:hAnsi="Times New Roman"/>
        </w:rPr>
        <w:t>guided optimizer.</w:t>
      </w:r>
      <w:r>
        <w:rPr>
          <w:rFonts w:ascii="Times New Roman" w:hAnsi="Times New Roman"/>
        </w:rPr>
        <w:t xml:space="preserve"> </w:t>
      </w:r>
    </w:p>
    <w:p w:rsidR="003C3E48" w:rsidRDefault="00000000">
      <w:pPr>
        <w:spacing w:after="120"/>
        <w:jc w:val="both"/>
        <w:rPr>
          <w:rFonts w:ascii="Times New Roman" w:hAnsi="Times New Roman"/>
        </w:rPr>
      </w:pPr>
      <w:r>
        <w:rPr>
          <w:rFonts w:ascii="Times New Roman" w:hAnsi="Times New Roman"/>
        </w:rPr>
        <w:t xml:space="preserve">They differ only in how the geometry is created. The framework uses 123 self-generated OpenFOAM reactingFoam simulations as training data — fully open-source and reproducible. </w:t>
      </w:r>
      <w:r w:rsidR="003C3E48" w:rsidRPr="003C3E48">
        <w:rPr>
          <w:rFonts w:ascii="Times New Roman" w:hAnsi="Times New Roman"/>
        </w:rPr>
        <w:t>Code is available from the corresponding author upon reasonable request.</w:t>
      </w:r>
    </w:p>
    <w:p w:rsidR="00C03587" w:rsidRPr="00614B36" w:rsidRDefault="00000000">
      <w:pPr>
        <w:spacing w:after="120"/>
        <w:jc w:val="both"/>
        <w:rPr>
          <w:b/>
          <w:bCs/>
        </w:rPr>
      </w:pPr>
      <w:r w:rsidRPr="00614B36">
        <w:rPr>
          <w:rFonts w:ascii="Times New Roman" w:hAnsi="Times New Roman"/>
          <w:b/>
          <w:bCs/>
        </w:rPr>
        <w:t>Principal contributions:</w:t>
      </w:r>
    </w:p>
    <w:p w:rsidR="00C03587" w:rsidRDefault="00000000">
      <w:pPr>
        <w:pStyle w:val="ListBullet"/>
        <w:spacing w:after="60"/>
        <w:jc w:val="both"/>
      </w:pPr>
      <w:r>
        <w:rPr>
          <w:rFonts w:ascii="Times New Roman" w:hAnsi="Times New Roman"/>
          <w:b/>
        </w:rPr>
        <w:t xml:space="preserve">Dual-track framework: </w:t>
      </w:r>
      <w:r>
        <w:rPr>
          <w:rFonts w:ascii="Times New Roman" w:hAnsi="Times New Roman"/>
        </w:rPr>
        <w:t>first direct comparison of parametric (PCGM) and voxel-implicit CSG (VICES) geometry synthesis for ALD reactor design on identical physics.</w:t>
      </w:r>
    </w:p>
    <w:p w:rsidR="00C03587" w:rsidRDefault="00000000">
      <w:pPr>
        <w:pStyle w:val="ListBullet"/>
        <w:spacing w:after="60"/>
        <w:jc w:val="both"/>
      </w:pPr>
      <w:r>
        <w:rPr>
          <w:rFonts w:ascii="Times New Roman" w:hAnsi="Times New Roman"/>
          <w:b/>
        </w:rPr>
        <w:t xml:space="preserve">Catalan-number characterisation: </w:t>
      </w:r>
      <w:r>
        <w:rPr>
          <w:rFonts w:ascii="Times New Roman" w:hAnsi="Times New Roman"/>
        </w:rPr>
        <w:t>for n primitive shapes, C(n-1) distinct CSG binary tree topologies exist (e.g. 6 primitives → C(5) = 42 topologies), providing a rigorous bound on topology search complexity.</w:t>
      </w:r>
    </w:p>
    <w:p w:rsidR="00C03587" w:rsidRDefault="00000000">
      <w:pPr>
        <w:pStyle w:val="ListBullet"/>
        <w:spacing w:after="60"/>
        <w:jc w:val="both"/>
      </w:pPr>
      <w:r>
        <w:rPr>
          <w:rFonts w:ascii="Times New Roman" w:hAnsi="Times New Roman"/>
          <w:b/>
        </w:rPr>
        <w:t xml:space="preserve">Multi-head GNN with guardrails: </w:t>
      </w:r>
      <w:r>
        <w:rPr>
          <w:rFonts w:ascii="Times New Roman" w:hAnsi="Times New Roman"/>
        </w:rPr>
        <w:t>15-layer MeshGraphNet with three output heads and an eleven-parameter dimensionless-number guardrail engine.</w:t>
      </w:r>
    </w:p>
    <w:p w:rsidR="00C03587" w:rsidRDefault="00000000">
      <w:pPr>
        <w:pStyle w:val="ListBullet"/>
        <w:spacing w:after="60"/>
        <w:jc w:val="both"/>
      </w:pPr>
      <w:r>
        <w:rPr>
          <w:rFonts w:ascii="Times New Roman" w:hAnsi="Times New Roman"/>
          <w:b/>
        </w:rPr>
        <w:t xml:space="preserve">Multi-fidelity KPI surrogate: </w:t>
      </w:r>
      <w:r>
        <w:rPr>
          <w:rFonts w:ascii="Times New Roman" w:hAnsi="Times New Roman"/>
        </w:rPr>
        <w:t>5-fold cross-validated MLP achieving OOF Spearman rho = 0.947 on 120 cases.</w:t>
      </w:r>
    </w:p>
    <w:p w:rsidR="00C03587" w:rsidRDefault="00000000">
      <w:pPr>
        <w:pStyle w:val="ListBullet"/>
        <w:spacing w:after="60"/>
        <w:jc w:val="both"/>
      </w:pPr>
      <w:r>
        <w:rPr>
          <w:rFonts w:ascii="Times New Roman" w:hAnsi="Times New Roman"/>
          <w:b/>
        </w:rPr>
        <w:t xml:space="preserve">Track 2 topology discovery: </w:t>
      </w:r>
      <w:r>
        <w:rPr>
          <w:rFonts w:ascii="Times New Roman" w:hAnsi="Times New Roman"/>
        </w:rPr>
        <w:t>annular-ring design achieves TMA-UI = 0.792 vs Track 1 maximum of 0.344 (+130%), quantifying the performance gain from topology-level search.</w:t>
      </w:r>
    </w:p>
    <w:p w:rsidR="00C03587" w:rsidRDefault="00000000">
      <w:pPr>
        <w:spacing w:before="240" w:after="80"/>
      </w:pPr>
      <w:r>
        <w:rPr>
          <w:rFonts w:ascii="Times New Roman" w:hAnsi="Times New Roman"/>
          <w:b/>
          <w:color w:val="003366"/>
          <w:sz w:val="28"/>
        </w:rPr>
        <w:t>2. Background and Related Work</w:t>
      </w:r>
    </w:p>
    <w:p w:rsidR="00C03587" w:rsidRDefault="00000000">
      <w:pPr>
        <w:spacing w:before="240" w:after="80"/>
      </w:pPr>
      <w:r>
        <w:rPr>
          <w:rFonts w:ascii="Times New Roman" w:hAnsi="Times New Roman"/>
          <w:b/>
          <w:color w:val="005082"/>
          <w:sz w:val="24"/>
        </w:rPr>
        <w:t>2.1 ALD Reactor Modelling</w:t>
      </w:r>
    </w:p>
    <w:p w:rsidR="00C03587" w:rsidRDefault="00000000">
      <w:pPr>
        <w:spacing w:after="120"/>
        <w:jc w:val="both"/>
        <w:rPr>
          <w:rFonts w:ascii="Times New Roman" w:hAnsi="Times New Roman"/>
        </w:rPr>
      </w:pPr>
      <w:r>
        <w:rPr>
          <w:rFonts w:ascii="Times New Roman" w:hAnsi="Times New Roman"/>
        </w:rPr>
        <w:t xml:space="preserve">Computational modelling of ALD reactors has been studied extensively. Granneman et al. [1] and Cremers et al. [2] established that precursor distribution uniformity directly controls film quality. Pan et al. [3] developed multiscale CFD models coupling gas-phase transport with surface kinetics. The Argonne aldFoam solver [4] provides ALD-specific reactive transport within OpenFOAM. We use the standard reactingFoam solver [5] — part of the openly available OpenFOAM framework — which </w:t>
      </w:r>
      <w:r>
        <w:rPr>
          <w:rFonts w:ascii="Times New Roman" w:hAnsi="Times New Roman"/>
        </w:rPr>
        <w:lastRenderedPageBreak/>
        <w:t>handles flow, heat, species transport, and turbulence without custom compilation, making our 123-case dataset fully reproducible.</w:t>
      </w:r>
    </w:p>
    <w:p w:rsidR="00614B36" w:rsidRDefault="00614B36">
      <w:pPr>
        <w:spacing w:after="120"/>
        <w:jc w:val="both"/>
      </w:pPr>
    </w:p>
    <w:p w:rsidR="00C03587" w:rsidRDefault="00000000">
      <w:pPr>
        <w:spacing w:before="240" w:after="80"/>
      </w:pPr>
      <w:r>
        <w:rPr>
          <w:rFonts w:ascii="Times New Roman" w:hAnsi="Times New Roman"/>
          <w:b/>
          <w:color w:val="005082"/>
          <w:sz w:val="24"/>
        </w:rPr>
        <w:t>2.2 GNN Surrogates for CFD</w:t>
      </w:r>
    </w:p>
    <w:p w:rsidR="00C03587" w:rsidRDefault="00000000">
      <w:pPr>
        <w:spacing w:after="120"/>
        <w:jc w:val="both"/>
      </w:pPr>
      <w:r>
        <w:rPr>
          <w:rFonts w:ascii="Times New Roman" w:hAnsi="Times New Roman"/>
        </w:rPr>
        <w:t>GNNs have emerged as the leading architecture for CFD surrogates on unstructured meshes and point clouds. Pfaff et al. [6] introduced MeshGraphNet — a message-passing GNN that operates directly on simulation meshes. Bonnet et al. [7] released AirfRANS, a benchmark dataset of Reynolds-Averaged Navier-Stokes (</w:t>
      </w:r>
      <w:r>
        <w:rPr>
          <w:rFonts w:ascii="Times New Roman" w:hAnsi="Times New Roman"/>
          <w:b/>
        </w:rPr>
        <w:t>RANS</w:t>
      </w:r>
      <w:r>
        <w:rPr>
          <w:rFonts w:ascii="Times New Roman" w:hAnsi="Times New Roman"/>
        </w:rPr>
        <w:t>) solutions used for GNN pretraining. Our MultiHeadMGN extends MeshGraphNet with three independent decoder heads and LayerNorm regularisation, implemented in PyTorch Geometric (PyG) [8].</w:t>
      </w:r>
    </w:p>
    <w:p w:rsidR="00C03587" w:rsidRDefault="00000000">
      <w:pPr>
        <w:spacing w:before="240" w:after="80"/>
      </w:pPr>
      <w:r>
        <w:rPr>
          <w:rFonts w:ascii="Times New Roman" w:hAnsi="Times New Roman"/>
          <w:b/>
          <w:color w:val="005082"/>
          <w:sz w:val="24"/>
        </w:rPr>
        <w:t>2.3 CSG Geometry Synthesis and SDF</w:t>
      </w:r>
    </w:p>
    <w:p w:rsidR="00C03587" w:rsidRDefault="00000000">
      <w:pPr>
        <w:spacing w:after="120"/>
        <w:jc w:val="both"/>
      </w:pPr>
      <w:r>
        <w:rPr>
          <w:rFonts w:ascii="Times New Roman" w:hAnsi="Times New Roman"/>
        </w:rPr>
        <w:t xml:space="preserve">CSG builds complex shapes from primitives (cylinders, boxes, cones, spheres) via boolean operations: union (combine), subtract (cut), intersect (overlap). When shapes are represented as </w:t>
      </w:r>
      <w:r w:rsidRPr="00B41D41">
        <w:rPr>
          <w:rFonts w:ascii="Times New Roman" w:hAnsi="Times New Roman"/>
          <w:b/>
          <w:bCs/>
        </w:rPr>
        <w:t>Signed Distance Fields</w:t>
      </w:r>
      <w:r>
        <w:rPr>
          <w:rFonts w:ascii="Times New Roman" w:hAnsi="Times New Roman"/>
        </w:rPr>
        <w:t xml:space="preserve"> (SDF) — scalar functions returning the signed distance to the nearest surface at any point in space — boolean operations reduce to elementwise arithmetic: union = </w:t>
      </w:r>
      <w:proofErr w:type="gramStart"/>
      <w:r>
        <w:rPr>
          <w:rFonts w:ascii="Times New Roman" w:hAnsi="Times New Roman"/>
        </w:rPr>
        <w:t>min(</w:t>
      </w:r>
      <w:proofErr w:type="gramEnd"/>
      <w:r>
        <w:rPr>
          <w:rFonts w:ascii="Times New Roman" w:hAnsi="Times New Roman"/>
        </w:rPr>
        <w:t xml:space="preserve">f_A, f_B), subtract = </w:t>
      </w:r>
      <w:proofErr w:type="gramStart"/>
      <w:r>
        <w:rPr>
          <w:rFonts w:ascii="Times New Roman" w:hAnsi="Times New Roman"/>
        </w:rPr>
        <w:t>max(</w:t>
      </w:r>
      <w:proofErr w:type="gramEnd"/>
      <w:r>
        <w:rPr>
          <w:rFonts w:ascii="Times New Roman" w:hAnsi="Times New Roman"/>
        </w:rPr>
        <w:t xml:space="preserve">f_A, -f_B), intersect = </w:t>
      </w:r>
      <w:proofErr w:type="gramStart"/>
      <w:r>
        <w:rPr>
          <w:rFonts w:ascii="Times New Roman" w:hAnsi="Times New Roman"/>
        </w:rPr>
        <w:t>max(</w:t>
      </w:r>
      <w:proofErr w:type="gramEnd"/>
      <w:r>
        <w:rPr>
          <w:rFonts w:ascii="Times New Roman" w:hAnsi="Times New Roman"/>
        </w:rPr>
        <w:t>f_A, f_B). This approach was pioneered in computational engineering by LEAP71 with their PicoGK toolkit [9]. Our VICES implementation builds the same SDF/CSG pipeline natively in Python and NumPy, requiring no external geometry kernel and enabling direct integration with the PyTorch-based ML surrogate.</w:t>
      </w:r>
    </w:p>
    <w:p w:rsidR="00C03587" w:rsidRDefault="00000000">
      <w:pPr>
        <w:spacing w:before="240" w:after="80"/>
      </w:pPr>
      <w:r>
        <w:rPr>
          <w:rFonts w:ascii="Times New Roman" w:hAnsi="Times New Roman"/>
          <w:b/>
          <w:color w:val="005082"/>
          <w:sz w:val="24"/>
        </w:rPr>
        <w:t>2.4 Marching Cubes Triangulation</w:t>
      </w:r>
    </w:p>
    <w:p w:rsidR="00C03587" w:rsidRDefault="00000000">
      <w:pPr>
        <w:spacing w:after="120"/>
        <w:jc w:val="both"/>
      </w:pPr>
      <w:r>
        <w:rPr>
          <w:rFonts w:ascii="Times New Roman" w:hAnsi="Times New Roman"/>
        </w:rPr>
        <w:t>Lorensen and Cline's Marching Cubes algorithm [10] converts a volumetric SDF to a triangle mesh. Each 2×2×2 cube of voxels has 2^8 = 256 configurations, reducing to 15 unique surface topologies by symmetry. A precomputed lookup table maps each configuration to triangles at the SDF = 0 iso-surface. We use the PyMCubes library [11].</w:t>
      </w:r>
    </w:p>
    <w:p w:rsidR="00C03587" w:rsidRDefault="00000000">
      <w:pPr>
        <w:spacing w:before="240" w:after="80"/>
      </w:pPr>
      <w:r>
        <w:rPr>
          <w:rFonts w:ascii="Times New Roman" w:hAnsi="Times New Roman"/>
          <w:b/>
          <w:color w:val="003366"/>
          <w:sz w:val="28"/>
        </w:rPr>
        <w:t>3. Framework Architecture</w:t>
      </w:r>
    </w:p>
    <w:p w:rsidR="00C03587" w:rsidRDefault="00000000">
      <w:pPr>
        <w:spacing w:after="120"/>
        <w:jc w:val="both"/>
      </w:pPr>
      <w:r>
        <w:rPr>
          <w:rFonts w:ascii="Times New Roman" w:hAnsi="Times New Roman"/>
        </w:rPr>
        <w:t>Figure 1 shows the complete eight-module pipeline. Both tracks share the same physics calculator, data standardisation, GNN surrogate, guardrail engine, and optimizer — differing only in Module 1 (geometry creation). This design enables controlled, direct comparison between parametric and topological geometry synthesis on identical physics.</w:t>
      </w:r>
    </w:p>
    <w:p w:rsidR="00C03587" w:rsidRDefault="00000000">
      <w:pPr>
        <w:jc w:val="center"/>
      </w:pPr>
      <w:r>
        <w:rPr>
          <w:noProof/>
        </w:rPr>
        <w:lastRenderedPageBreak/>
        <w:drawing>
          <wp:inline distT="0" distB="0" distL="0" distR="0">
            <wp:extent cx="5485060" cy="4261900"/>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6"/>
                    <a:stretch>
                      <a:fillRect/>
                    </a:stretch>
                  </pic:blipFill>
                  <pic:spPr>
                    <a:xfrm>
                      <a:off x="0" y="0"/>
                      <a:ext cx="5546320" cy="4309499"/>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1 — Dual-track framework pipeline. Track 1 (PCGM, blue) and Track 2 (VICES, orange) differ only in geometry creation (Module 1); all downstream modules are shared. The guardrail engine (Module 5) routes failing designs back for parameter adjustment before optimizer evaluation.</w:t>
      </w:r>
    </w:p>
    <w:p w:rsidR="00C03587" w:rsidRDefault="00000000">
      <w:pPr>
        <w:spacing w:after="120"/>
        <w:jc w:val="both"/>
      </w:pPr>
      <w:r>
        <w:rPr>
          <w:rFonts w:ascii="Times New Roman" w:hAnsi="Times New Roman"/>
        </w:rPr>
        <w:t>The eight modules and their roles:</w:t>
      </w:r>
    </w:p>
    <w:p w:rsidR="00C03587" w:rsidRDefault="00000000">
      <w:pPr>
        <w:pStyle w:val="ListBullet"/>
        <w:spacing w:after="60"/>
        <w:jc w:val="both"/>
      </w:pPr>
      <w:r>
        <w:rPr>
          <w:rFonts w:ascii="Times New Roman" w:hAnsi="Times New Roman"/>
          <w:b/>
        </w:rPr>
        <w:t xml:space="preserve">Module 0 — Requirements and Guardrails: </w:t>
      </w:r>
      <w:r>
        <w:rPr>
          <w:rFonts w:ascii="Times New Roman" w:hAnsi="Times New Roman"/>
        </w:rPr>
        <w:t>computes eleven dimensionless numbers and enforces user-settable bounds before any geometry is generated.</w:t>
      </w:r>
    </w:p>
    <w:p w:rsidR="00C03587" w:rsidRDefault="00000000">
      <w:pPr>
        <w:pStyle w:val="ListBullet"/>
        <w:spacing w:after="60"/>
        <w:jc w:val="both"/>
      </w:pPr>
      <w:r>
        <w:rPr>
          <w:rFonts w:ascii="Times New Roman" w:hAnsi="Times New Roman"/>
          <w:b/>
        </w:rPr>
        <w:t xml:space="preserve">Module 1A — PCGM: </w:t>
      </w:r>
      <w:r>
        <w:rPr>
          <w:rFonts w:ascii="Times New Roman" w:hAnsi="Times New Roman"/>
        </w:rPr>
        <w:t>generates a hex nozzle array point cloud from five parameters (D, pitch/D, Q, H, t).</w:t>
      </w:r>
    </w:p>
    <w:p w:rsidR="00C03587" w:rsidRDefault="00000000">
      <w:pPr>
        <w:pStyle w:val="ListBullet"/>
        <w:spacing w:after="60"/>
        <w:jc w:val="both"/>
      </w:pPr>
      <w:r>
        <w:rPr>
          <w:rFonts w:ascii="Times New Roman" w:hAnsi="Times New Roman"/>
          <w:b/>
        </w:rPr>
        <w:t xml:space="preserve">Module 1B — VICES: </w:t>
      </w:r>
      <w:r>
        <w:rPr>
          <w:rFonts w:ascii="Times New Roman" w:hAnsi="Times New Roman"/>
        </w:rPr>
        <w:t>evaluates a CSG/SDF tree on a 64^3 voxel grid, applies Marching Cubes, and samples an 80,000-point cloud.</w:t>
      </w:r>
    </w:p>
    <w:p w:rsidR="00C03587" w:rsidRDefault="00000000">
      <w:pPr>
        <w:pStyle w:val="ListBullet"/>
        <w:spacing w:after="60"/>
        <w:jc w:val="both"/>
      </w:pPr>
      <w:r>
        <w:rPr>
          <w:rFonts w:ascii="Times New Roman" w:hAnsi="Times New Roman"/>
          <w:b/>
        </w:rPr>
        <w:t xml:space="preserve">Modules 2+3 — Data Layer and Standardisation: </w:t>
      </w:r>
      <w:r>
        <w:rPr>
          <w:rFonts w:ascii="Times New Roman" w:hAnsi="Times New Roman"/>
        </w:rPr>
        <w:t>123 OpenFOAM cases → HDF5 with canonical keys and embedded dimensionless features.</w:t>
      </w:r>
    </w:p>
    <w:p w:rsidR="00C03587" w:rsidRDefault="00000000">
      <w:pPr>
        <w:pStyle w:val="ListBullet"/>
        <w:spacing w:after="60"/>
        <w:jc w:val="both"/>
      </w:pPr>
      <w:r>
        <w:rPr>
          <w:rFonts w:ascii="Times New Roman" w:hAnsi="Times New Roman"/>
          <w:b/>
        </w:rPr>
        <w:t xml:space="preserve">Module 4 — GNN Surrogate: </w:t>
      </w:r>
      <w:r>
        <w:rPr>
          <w:rFonts w:ascii="Times New Roman" w:hAnsi="Times New Roman"/>
        </w:rPr>
        <w:t>shared encoder + 15 MGNProcessor layers + three decoder heads (flow / heat / species).</w:t>
      </w:r>
    </w:p>
    <w:p w:rsidR="00C03587" w:rsidRDefault="00000000">
      <w:pPr>
        <w:pStyle w:val="ListBullet"/>
        <w:spacing w:after="60"/>
        <w:jc w:val="both"/>
      </w:pPr>
      <w:r>
        <w:rPr>
          <w:rFonts w:ascii="Times New Roman" w:hAnsi="Times New Roman"/>
          <w:b/>
        </w:rPr>
        <w:t xml:space="preserve">Module 5 — Guardrail Engine: </w:t>
      </w:r>
      <w:r>
        <w:rPr>
          <w:rFonts w:ascii="Times New Roman" w:hAnsi="Times New Roman"/>
        </w:rPr>
        <w:t>regime checks, confidence scoring, reason codes.</w:t>
      </w:r>
    </w:p>
    <w:p w:rsidR="00C03587" w:rsidRDefault="00000000">
      <w:pPr>
        <w:pStyle w:val="ListBullet"/>
        <w:spacing w:after="60"/>
        <w:jc w:val="both"/>
      </w:pPr>
      <w:r>
        <w:rPr>
          <w:rFonts w:ascii="Times New Roman" w:hAnsi="Times New Roman"/>
          <w:b/>
        </w:rPr>
        <w:t xml:space="preserve">Module 6 — Optimizer: </w:t>
      </w:r>
      <w:r>
        <w:rPr>
          <w:rFonts w:ascii="Times New Roman" w:hAnsi="Times New Roman"/>
        </w:rPr>
        <w:t>Track 1: BoTorch Pareto over continuous parameters; Track 2: random topology search over 1,200 candidates.</w:t>
      </w:r>
    </w:p>
    <w:p w:rsidR="00C03587" w:rsidRDefault="00000000">
      <w:pPr>
        <w:pStyle w:val="ListBullet"/>
        <w:spacing w:after="60"/>
        <w:jc w:val="both"/>
      </w:pPr>
      <w:r>
        <w:rPr>
          <w:rFonts w:ascii="Times New Roman" w:hAnsi="Times New Roman"/>
          <w:b/>
        </w:rPr>
        <w:t xml:space="preserve">Module 7 — Verification: </w:t>
      </w:r>
      <w:r>
        <w:rPr>
          <w:rFonts w:ascii="Times New Roman" w:hAnsi="Times New Roman"/>
        </w:rPr>
        <w:t>targeted CFD on top Pareto designs, surrogate finetuning.</w:t>
      </w:r>
    </w:p>
    <w:p w:rsidR="00C03587" w:rsidRDefault="00000000">
      <w:pPr>
        <w:spacing w:before="240" w:after="80"/>
      </w:pPr>
      <w:r>
        <w:rPr>
          <w:rFonts w:ascii="Times New Roman" w:hAnsi="Times New Roman"/>
          <w:b/>
          <w:color w:val="003366"/>
          <w:sz w:val="28"/>
        </w:rPr>
        <w:lastRenderedPageBreak/>
        <w:t>4. Physics Guardrail Engine</w:t>
      </w:r>
    </w:p>
    <w:p w:rsidR="00C03587" w:rsidRDefault="00000000">
      <w:pPr>
        <w:spacing w:after="120"/>
        <w:jc w:val="both"/>
      </w:pPr>
      <w:r>
        <w:rPr>
          <w:rFonts w:ascii="Times New Roman" w:hAnsi="Times New Roman"/>
        </w:rPr>
        <w:t>A key novelty is the explicit physics guardrail engine that validates every design before and after surrogate evaluation. We distinguish two tiers of dimensionless numbers with distinct roles in the pipeline:</w:t>
      </w:r>
    </w:p>
    <w:p w:rsidR="00C03587" w:rsidRDefault="00000000">
      <w:pPr>
        <w:pStyle w:val="ListBullet"/>
        <w:spacing w:after="60"/>
        <w:jc w:val="both"/>
      </w:pPr>
      <w:r>
        <w:rPr>
          <w:rFonts w:ascii="Times New Roman" w:hAnsi="Times New Roman"/>
          <w:b/>
        </w:rPr>
        <w:t xml:space="preserve">Tier 1 — Design constraints (Re, Ma, Eu, Da, Sc, Pe_m): </w:t>
      </w:r>
      <w:r>
        <w:rPr>
          <w:rFonts w:ascii="Times New Roman" w:hAnsi="Times New Roman"/>
        </w:rPr>
        <w:t>computed directly from design parameters before the surrogate runs. Violation means the design falls outside the surrogate's training regime — predictions are unreliable. These six numbers block or flag the design before inference.</w:t>
      </w:r>
    </w:p>
    <w:p w:rsidR="00C03587" w:rsidRDefault="00000000">
      <w:pPr>
        <w:pStyle w:val="ListBullet"/>
        <w:spacing w:after="60"/>
        <w:jc w:val="both"/>
      </w:pPr>
      <w:r>
        <w:rPr>
          <w:rFonts w:ascii="Times New Roman" w:hAnsi="Times New Roman"/>
          <w:b/>
        </w:rPr>
        <w:t xml:space="preserve">Tier 2 — Physical consistency validators (Pr, Pe_h, Nu, Bi, Sh): </w:t>
      </w:r>
      <w:r>
        <w:rPr>
          <w:rFonts w:ascii="Times New Roman" w:hAnsi="Times New Roman"/>
        </w:rPr>
        <w:t>validated after surrogate prediction using predicted field values. Violation does not block inference but flags the design for CFD refinement. These five numbers are either derived from the solution (Nu, Bi, Sh) or essentially fixed for a given gas mixture (Pr ≈ 0.71 for N₂, Pe_h = Re·Pr).</w:t>
      </w:r>
    </w:p>
    <w:p w:rsidR="00C03587" w:rsidRDefault="00000000">
      <w:pPr>
        <w:spacing w:before="240" w:after="80"/>
      </w:pPr>
      <w:r>
        <w:rPr>
          <w:rFonts w:ascii="Times New Roman" w:hAnsi="Times New Roman"/>
          <w:b/>
          <w:color w:val="005082"/>
          <w:sz w:val="24"/>
        </w:rPr>
        <w:t>4.1 Tier 1 — Design Constraints</w:t>
      </w:r>
    </w:p>
    <w:p w:rsidR="00C03587" w:rsidRDefault="00000000">
      <w:pPr>
        <w:spacing w:after="120"/>
        <w:jc w:val="both"/>
      </w:pPr>
      <w:r>
        <w:rPr>
          <w:rFonts w:ascii="Times New Roman" w:hAnsi="Times New Roman"/>
        </w:rPr>
        <w:t>The following six numbers are evaluated before surrogate inference:</w:t>
      </w:r>
    </w:p>
    <w:p w:rsidR="00C03587" w:rsidRDefault="00000000">
      <w:pPr>
        <w:spacing w:before="240" w:after="80"/>
      </w:pPr>
      <w:r>
        <w:rPr>
          <w:rFonts w:ascii="Times New Roman" w:hAnsi="Times New Roman"/>
          <w:b/>
          <w:color w:val="0064A0"/>
        </w:rPr>
        <w:t>4.1a Momentum Transfer</w:t>
      </w:r>
    </w:p>
    <w:p w:rsidR="00C03587" w:rsidRDefault="00000000">
      <w:pPr>
        <w:pStyle w:val="ListBullet"/>
        <w:spacing w:after="60"/>
        <w:jc w:val="both"/>
      </w:pPr>
      <w:r>
        <w:rPr>
          <w:rFonts w:ascii="Times New Roman" w:hAnsi="Times New Roman"/>
          <w:b/>
        </w:rPr>
        <w:t xml:space="preserve">Reynolds Number Re = rho*V*D / mu: </w:t>
      </w:r>
      <w:r>
        <w:rPr>
          <w:rFonts w:ascii="Times New Roman" w:hAnsi="Times New Roman"/>
        </w:rPr>
        <w:t>ratio of inertial to viscous forces. rho = gas density [kg/m^3], V = nozzle jet velocity [m/s], D = nozzle diameter [m], mu = dynamic viscosity [Pa.s]. ALD operates at Re &lt;&lt; 2300 (laminar). Guard: Re_max = 5,000.</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does Re tell us about ALD flow?</w:t>
            </w:r>
            <w:r>
              <w:rPr>
                <w:rFonts w:ascii="Times New Roman" w:hAnsi="Times New Roman"/>
                <w:b/>
                <w:color w:val="34495E"/>
                <w:sz w:val="20"/>
              </w:rPr>
              <w:br/>
            </w:r>
            <w:r>
              <w:rPr>
                <w:rFonts w:ascii="Times New Roman" w:hAnsi="Times New Roman"/>
                <w:i/>
                <w:color w:val="2C3E50"/>
                <w:sz w:val="20"/>
              </w:rPr>
              <w:t>"Think of Re as asking: is the gas flowing smoothly like honey (low Re), or tumbling chaotically like river rapids (high Re)? ALD needs honey-flow. The surrogate was trained on honey-flow data — if Re climbs above 2,300, the surrogate is extrapolating into unknown turbulent territory, and its predictions become untrustworthy."</w:t>
            </w:r>
          </w:p>
        </w:tc>
      </w:tr>
    </w:tbl>
    <w:p w:rsidR="00C03587" w:rsidRDefault="00C03587">
      <w:pPr>
        <w:spacing w:after="120"/>
      </w:pPr>
    </w:p>
    <w:p w:rsidR="00C03587" w:rsidRDefault="00000000">
      <w:pPr>
        <w:pStyle w:val="ListBullet"/>
        <w:spacing w:after="60"/>
        <w:jc w:val="both"/>
      </w:pPr>
      <w:r>
        <w:rPr>
          <w:rFonts w:ascii="Times New Roman" w:hAnsi="Times New Roman"/>
          <w:b/>
        </w:rPr>
        <w:t xml:space="preserve">Mach Number Ma = V / a: </w:t>
      </w:r>
      <w:r>
        <w:rPr>
          <w:rFonts w:ascii="Times New Roman" w:hAnsi="Times New Roman"/>
        </w:rPr>
        <w:t>ratio of flow speed V to speed of sound a [m/s]. Ma &gt; 0.3 triggers compressibility effects that invalidate the incompressible surrogate assumption. Guard: Ma_max = 0.3.</w:t>
      </w:r>
    </w:p>
    <w:p w:rsidR="00C03587" w:rsidRDefault="00000000">
      <w:pPr>
        <w:pStyle w:val="ListBullet"/>
        <w:spacing w:after="60"/>
        <w:jc w:val="both"/>
      </w:pPr>
      <w:r>
        <w:rPr>
          <w:rFonts w:ascii="Times New Roman" w:hAnsi="Times New Roman"/>
          <w:b/>
        </w:rPr>
        <w:t xml:space="preserve">Euler Number Eu = Delta_p / (0.5 * rho * V^2): </w:t>
      </w:r>
      <w:r>
        <w:rPr>
          <w:rFonts w:ascii="Times New Roman" w:hAnsi="Times New Roman"/>
        </w:rPr>
        <w:t>dimensionless pressure drop. For ALD creeping flow (Re ~ 1–100), Eu naturally reaches 10^5–10^7 — this is physically correct, not an error, because jet velocities are tiny (~0.01 m/s) making dynamic pressure negligible. We also report absolute Delta_p [Pa] (target &lt; 500 Pa for ALD). Guard: Eu_max = 10^8.</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is a huge Eu number normal in ALD — and not a problem?</w:t>
            </w:r>
            <w:r>
              <w:rPr>
                <w:rFonts w:ascii="Times New Roman" w:hAnsi="Times New Roman"/>
                <w:b/>
                <w:color w:val="34495E"/>
                <w:sz w:val="20"/>
              </w:rPr>
              <w:br/>
            </w:r>
            <w:r>
              <w:rPr>
                <w:rFonts w:ascii="Times New Roman" w:hAnsi="Times New Roman"/>
                <w:i/>
                <w:color w:val="2C3E50"/>
                <w:sz w:val="20"/>
              </w:rPr>
              <w:t>"Eu compares pressure drop to the jet's kinetic punch (dynamic pressure). In ALD, jets move so slowly (~0.01 m/s) that their kinetic punch is almost nothing — like comparing the weight of a feather to pushing a door. A small push divided by a feather's weight gives an enormous number. That is Eu in ALD: 10^5 to 10^7 is perfectly normal. What actually matters for the process is the absolute pressure drop in Pascals (target &lt; 500 Pa) — that is why we report both."</w:t>
            </w:r>
          </w:p>
        </w:tc>
      </w:tr>
    </w:tbl>
    <w:p w:rsidR="00C03587" w:rsidRDefault="00C03587">
      <w:pPr>
        <w:spacing w:after="120"/>
      </w:pPr>
    </w:p>
    <w:p w:rsidR="00B41D41" w:rsidRDefault="00B41D41">
      <w:pPr>
        <w:spacing w:before="240" w:after="80"/>
        <w:rPr>
          <w:rFonts w:ascii="Times New Roman" w:hAnsi="Times New Roman"/>
          <w:b/>
          <w:color w:val="0064A0"/>
        </w:rPr>
      </w:pPr>
    </w:p>
    <w:p w:rsidR="00C03587" w:rsidRDefault="00000000">
      <w:pPr>
        <w:spacing w:before="240" w:after="80"/>
      </w:pPr>
      <w:r>
        <w:rPr>
          <w:rFonts w:ascii="Times New Roman" w:hAnsi="Times New Roman"/>
          <w:b/>
          <w:color w:val="0064A0"/>
        </w:rPr>
        <w:lastRenderedPageBreak/>
        <w:t>4.1b Mass Transfer and ALD Kinetics (Tier 1)</w:t>
      </w:r>
    </w:p>
    <w:p w:rsidR="00C03587" w:rsidRDefault="00000000">
      <w:pPr>
        <w:pStyle w:val="ListBullet"/>
        <w:spacing w:after="60"/>
        <w:jc w:val="both"/>
      </w:pPr>
      <w:r>
        <w:rPr>
          <w:rFonts w:ascii="Times New Roman" w:hAnsi="Times New Roman"/>
          <w:b/>
        </w:rPr>
        <w:t xml:space="preserve">Schmidt Number Sc = mu / (rho * D_m): </w:t>
      </w:r>
      <w:r>
        <w:rPr>
          <w:rFonts w:ascii="Times New Roman" w:hAnsi="Times New Roman"/>
        </w:rPr>
        <w:t>[DESIGN CONSTRAINT] ratio of momentum to mass diffusivity. D_m [m^2/s] = TMA diffusivity in N2. Sc ≈ 1–3 for TMA/N2. Flags incorrect D_m specification.</w:t>
      </w:r>
    </w:p>
    <w:p w:rsidR="00C03587" w:rsidRDefault="00000000">
      <w:pPr>
        <w:pStyle w:val="ListBullet"/>
        <w:spacing w:after="60"/>
        <w:jc w:val="both"/>
      </w:pPr>
      <w:r>
        <w:rPr>
          <w:rFonts w:ascii="Times New Roman" w:hAnsi="Times New Roman"/>
          <w:b/>
        </w:rPr>
        <w:t xml:space="preserve">Peclet Number (mass) Pe_m = Re * Sc: </w:t>
      </w:r>
      <w:r>
        <w:rPr>
          <w:rFonts w:ascii="Times New Roman" w:hAnsi="Times New Roman"/>
        </w:rPr>
        <w:t>[DESIGN CONSTRAINT] advection-to-diffusion ratio for mass transport. ALD operates at Pe_m ≈ 0.1–10 (diffusion-important). High Pe_m: convection dominates, uneven jets cannot be corrected by diffusion.</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do Peclet numbers tell us — advection vs diffusion?</w:t>
            </w:r>
            <w:r>
              <w:rPr>
                <w:rFonts w:ascii="Times New Roman" w:hAnsi="Times New Roman"/>
                <w:b/>
                <w:color w:val="34495E"/>
                <w:sz w:val="20"/>
              </w:rPr>
              <w:br/>
            </w:r>
            <w:r>
              <w:rPr>
                <w:rFonts w:ascii="Times New Roman" w:hAnsi="Times New Roman"/>
                <w:i/>
                <w:color w:val="2C3E50"/>
                <w:sz w:val="20"/>
              </w:rPr>
              <w:t>"Imagine two ways a gas molecule can travel from a nozzle to the wafer: it can be carried by the bulk flow (advection — fast, directed), or it can wander randomly by itself (diffusion — slow, spreading in all directions). Pe measures which wins. Pe &gt;&gt; 1: advection dominates — molecules travel in the direction the flow points. Pe &lt;&lt; 1: diffusion dominates — molecules spread equally in all directions. ALD at Pe_m ≈ 0.1–10 sits in between — both effects matter. If Pe_m goes very high (fast flow, large reactor), diffusion cannot compensate for uneven jet placement, and uniformity suffers. The guardrail keeps the surrogate within the regime it was trained on."</w:t>
            </w:r>
          </w:p>
        </w:tc>
      </w:tr>
    </w:tbl>
    <w:p w:rsidR="00C03587" w:rsidRDefault="00C03587">
      <w:pPr>
        <w:spacing w:after="120"/>
      </w:pPr>
    </w:p>
    <w:p w:rsidR="00C03587" w:rsidRDefault="00000000">
      <w:pPr>
        <w:pStyle w:val="ListBullet"/>
        <w:spacing w:after="60"/>
        <w:jc w:val="both"/>
      </w:pPr>
      <w:r>
        <w:rPr>
          <w:rFonts w:ascii="Times New Roman" w:hAnsi="Times New Roman"/>
          <w:b/>
        </w:rPr>
        <w:t xml:space="preserve">Damkohler Number Da = k_rxn * L / V: </w:t>
      </w:r>
      <w:r>
        <w:rPr>
          <w:rFonts w:ascii="Times New Roman" w:hAnsi="Times New Roman"/>
        </w:rPr>
        <w:t>ratio of surface reaction rate k_rxn [m/s] to convective transport V/L [1/s]. Da &lt;&lt; 1: reaction-limited — the ideal ALD self-limiting regime. Da &gt;&gt; 1: transport-limited — precursor depletes before spreading uniformly. Guard: Da in [0.001, 100].</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does Da matter so much for ALD uniformity?</w:t>
            </w:r>
            <w:r>
              <w:rPr>
                <w:rFonts w:ascii="Times New Roman" w:hAnsi="Times New Roman"/>
                <w:b/>
                <w:color w:val="34495E"/>
                <w:sz w:val="20"/>
              </w:rPr>
              <w:br/>
            </w:r>
            <w:r>
              <w:rPr>
                <w:rFonts w:ascii="Times New Roman" w:hAnsi="Times New Roman"/>
                <w:i/>
                <w:color w:val="2C3E50"/>
                <w:sz w:val="20"/>
              </w:rPr>
              <w:t>"Da is the race between reaction and delivery. If the gas reacts too fast before it spreads (Da &gt;&gt; 1), the wafer centre gets coated immediately but the edges receive nothing — exactly the non-uniformity ALD engineers dread. ALD's self-limiting chemistry only works when delivery wins the race (Da &lt;&lt; 1): gas spreads everywhere first, then reacts uniformly."</w:t>
            </w:r>
          </w:p>
        </w:tc>
      </w:tr>
    </w:tbl>
    <w:p w:rsidR="00C03587" w:rsidRDefault="00C03587">
      <w:pPr>
        <w:spacing w:after="120"/>
      </w:pPr>
    </w:p>
    <w:p w:rsidR="00C03587" w:rsidRDefault="00000000">
      <w:pPr>
        <w:spacing w:before="240" w:after="80"/>
      </w:pPr>
      <w:r>
        <w:rPr>
          <w:rFonts w:ascii="Times New Roman" w:hAnsi="Times New Roman"/>
          <w:b/>
          <w:color w:val="005082"/>
          <w:sz w:val="24"/>
        </w:rPr>
        <w:t>4.2 Tier 2 — Physical Consistency Validators</w:t>
      </w:r>
    </w:p>
    <w:p w:rsidR="00C03587" w:rsidRDefault="00000000">
      <w:pPr>
        <w:spacing w:after="120"/>
        <w:jc w:val="both"/>
      </w:pPr>
      <w:r>
        <w:rPr>
          <w:rFonts w:ascii="Times New Roman" w:hAnsi="Times New Roman"/>
        </w:rPr>
        <w:t>The following five numbers are checked after surrogate prediction. Violation does not block inference but flags the design for CFD refinement. Three of these (Nu, Bi, Sh) are results of the CFD simulation, not quantities computable before solving — they validate the physical consistency of the surrogate's predictions against literature correlations.</w:t>
      </w:r>
    </w:p>
    <w:p w:rsidR="00C03587" w:rsidRDefault="00000000">
      <w:pPr>
        <w:pStyle w:val="ListBullet"/>
        <w:spacing w:after="60"/>
        <w:jc w:val="both"/>
      </w:pPr>
      <w:r>
        <w:rPr>
          <w:rFonts w:ascii="Times New Roman" w:hAnsi="Times New Roman"/>
          <w:b/>
        </w:rPr>
        <w:t xml:space="preserve">Prandtl Number Pr = cp*mu / k  [Tier 2]: </w:t>
      </w:r>
      <w:r>
        <w:rPr>
          <w:rFonts w:ascii="Times New Roman" w:hAnsi="Times New Roman"/>
        </w:rPr>
        <w:t>ratio of momentum to thermal diffusivity. Pr ≈ 0.71 for N2 at 393 K — essentially fixed for a given carrier gas. Acts as a fluid-property consistency check; rarely violated in practice.</w:t>
      </w:r>
    </w:p>
    <w:p w:rsidR="00C03587" w:rsidRDefault="00000000">
      <w:pPr>
        <w:pStyle w:val="ListBullet"/>
        <w:spacing w:after="60"/>
        <w:jc w:val="both"/>
      </w:pPr>
      <w:r>
        <w:rPr>
          <w:rFonts w:ascii="Times New Roman" w:hAnsi="Times New Roman"/>
          <w:b/>
        </w:rPr>
        <w:t xml:space="preserve">Peclet Number (heat) Pe_h = Re*Pr  [Tier 2]: </w:t>
      </w:r>
      <w:r>
        <w:rPr>
          <w:rFonts w:ascii="Times New Roman" w:hAnsi="Times New Roman"/>
        </w:rPr>
        <w:t>derived from Re and Pr — not an independent number. Validates that the advection-diffusion balance for heat is consistent with the training distribution.</w:t>
      </w:r>
    </w:p>
    <w:p w:rsidR="00C03587" w:rsidRDefault="00000000">
      <w:pPr>
        <w:pStyle w:val="ListBullet"/>
        <w:spacing w:after="60"/>
        <w:jc w:val="both"/>
      </w:pPr>
      <w:r>
        <w:rPr>
          <w:rFonts w:ascii="Times New Roman" w:hAnsi="Times New Roman"/>
          <w:b/>
        </w:rPr>
        <w:t xml:space="preserve">Nusselt Number Nu = h*L / k  [Tier 2]: </w:t>
      </w:r>
      <w:r>
        <w:rPr>
          <w:rFonts w:ascii="Times New Roman" w:hAnsi="Times New Roman"/>
        </w:rPr>
        <w:t xml:space="preserve">ratio of convective to conductive heat transfer. Computed from the Martin (1977) jet-impingement correlation: Nu = 0.5 * Re^0.5 * Pr^0.42. Important note: at ALD's creeping-flow regime (Re ~ 1-10), Nu ~ 0.5-0.8 is physically correct and expected — it indicates conduction-dominated heat transfer, which is desirable for ALD </w:t>
      </w:r>
      <w:r>
        <w:rPr>
          <w:rFonts w:ascii="Times New Roman" w:hAnsi="Times New Roman"/>
        </w:rPr>
        <w:lastRenderedPageBreak/>
        <w:t>(uniform faceplate temperature). Nu &lt; 1 does NOT indicate a problem; it is the normal ALD operating regime. Allowable range: [0.1, 100].</w:t>
      </w:r>
    </w:p>
    <w:p w:rsidR="00C03587" w:rsidRDefault="00000000">
      <w:pPr>
        <w:pStyle w:val="ListBullet"/>
        <w:spacing w:after="60"/>
        <w:jc w:val="both"/>
      </w:pPr>
      <w:r>
        <w:rPr>
          <w:rFonts w:ascii="Times New Roman" w:hAnsi="Times New Roman"/>
          <w:b/>
        </w:rPr>
        <w:t xml:space="preserve">Biot Number Bi = h*L / k_s  [Tier 2]: </w:t>
      </w:r>
      <w:r>
        <w:rPr>
          <w:rFonts w:ascii="Times New Roman" w:hAnsi="Times New Roman"/>
        </w:rPr>
        <w:t>ratio of surface convection to faceplate internal conduction. k_s = 16 W/(m.K) for stainless steel 316 faceplate (default). h is derived from the computed Nu. Bi &lt;&lt; 1 validates the uniform wall temperature boundary condition. Allowable range: [0.001, 0.1].</w:t>
      </w:r>
    </w:p>
    <w:p w:rsidR="00C03587" w:rsidRDefault="00000000">
      <w:pPr>
        <w:pStyle w:val="ListBullet"/>
        <w:spacing w:after="60"/>
        <w:jc w:val="both"/>
      </w:pPr>
      <w:r>
        <w:rPr>
          <w:rFonts w:ascii="Times New Roman" w:hAnsi="Times New Roman"/>
          <w:b/>
        </w:rPr>
        <w:t xml:space="preserve">Sherwood Number Sh = k_m*L / D_m  [Tier 2]: </w:t>
      </w:r>
      <w:r>
        <w:rPr>
          <w:rFonts w:ascii="Times New Roman" w:hAnsi="Times New Roman"/>
        </w:rPr>
        <w:t>mass-transfer analogue of Nusselt, computed via the Chilton-Colburn analogy: Sh = Nu * (Sc/Pr)^(1/3). Similarly, Sh &lt; 1 at low Re indicates diffusion-dominated precursor transport — physically correct and favourable for ALD uniformity since diffusion spreads the precursor uniformly regardless of jet placement. Allowable range: [0.1, 50].</w:t>
      </w:r>
    </w:p>
    <w:p w:rsidR="00C03587" w:rsidRDefault="00000000">
      <w:pPr>
        <w:spacing w:before="240" w:after="80"/>
      </w:pPr>
      <w:r>
        <w:rPr>
          <w:rFonts w:ascii="Times New Roman" w:hAnsi="Times New Roman"/>
          <w:b/>
          <w:color w:val="003366"/>
          <w:sz w:val="28"/>
        </w:rPr>
        <w:t>5. Track 1 — Physics-Constrained Geometric Morphogenesis (PCGM)</w:t>
      </w:r>
    </w:p>
    <w:p w:rsidR="00C03587" w:rsidRDefault="00000000">
      <w:pPr>
        <w:spacing w:before="240" w:after="80"/>
      </w:pPr>
      <w:r>
        <w:rPr>
          <w:rFonts w:ascii="Times New Roman" w:hAnsi="Times New Roman"/>
          <w:b/>
          <w:color w:val="005082"/>
          <w:sz w:val="24"/>
        </w:rPr>
        <w:t>5.1 Dataset Generation</w:t>
      </w:r>
    </w:p>
    <w:p w:rsidR="00C03587" w:rsidRDefault="00000000">
      <w:pPr>
        <w:spacing w:after="120"/>
        <w:jc w:val="both"/>
      </w:pPr>
      <w:r>
        <w:rPr>
          <w:rFonts w:ascii="Times New Roman" w:hAnsi="Times New Roman"/>
        </w:rPr>
        <w:t>83 OpenFOAM reactingFoam simulations were generated across a five-dimensional design space: nozzle diameter D in [1.0, 3.0] mm, pitch/D in [3.0, 6.0], flow rate Q in [1.0, 10.0] slm (Standard Litres per Minute; 1 slm = 1.667×10^-5 m^3/s at 0°C, 1 atm), plenum height H in [15.0, 25.0] mm, faceplate thickness t in [2.0, 4.0] mm. Turbulence model was auto-selected: laminar (Re &lt; 2300) or k-omega Shear Stress Transport (</w:t>
      </w:r>
      <w:r>
        <w:rPr>
          <w:rFonts w:ascii="Times New Roman" w:hAnsi="Times New Roman"/>
          <w:b/>
        </w:rPr>
        <w:t>SST</w:t>
      </w:r>
      <w:r>
        <w:rPr>
          <w:rFonts w:ascii="Times New Roman" w:hAnsi="Times New Roman"/>
        </w:rPr>
        <w:t>) (Re &gt;= 2300). Each simulation ran in 6–10 minutes in a Docker container (opencfd/openfoam-default v2512), 4 cases in parallel.</w:t>
      </w:r>
    </w:p>
    <w:p w:rsidR="00C03587" w:rsidRDefault="00000000">
      <w:pPr>
        <w:spacing w:after="120"/>
        <w:jc w:val="both"/>
      </w:pPr>
      <w:r>
        <w:rPr>
          <w:rFonts w:ascii="Times New Roman" w:hAnsi="Times New Roman"/>
        </w:rPr>
        <w:t>The TMA Uniformity Index (TMA-UI) is defined as:</w:t>
      </w:r>
    </w:p>
    <w:p w:rsidR="00C03587" w:rsidRDefault="00000000">
      <w:pPr>
        <w:spacing w:before="80" w:after="40"/>
        <w:jc w:val="center"/>
      </w:pPr>
      <w:r>
        <w:rPr>
          <w:rFonts w:ascii="Courier New" w:hAnsi="Courier New"/>
          <w:i/>
          <w:sz w:val="20"/>
        </w:rPr>
        <w:t>TMA-UI  =  1  −  std(TMA_wafer) / mean(TMA_wafer)     ∈ (−∞, 1]</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std = standard deviation of TMA mass fraction at wafer-adjacent cells;  mean = mean TMA mass fraction;  value of 1 = perfect uniformity;  negative = standard deviation exceeds mean (highly non-uniform).</w:t>
      </w:r>
    </w:p>
    <w:p w:rsidR="00C03587" w:rsidRDefault="00000000">
      <w:pPr>
        <w:spacing w:after="120"/>
        <w:jc w:val="both"/>
      </w:pPr>
      <w:r>
        <w:rPr>
          <w:rFonts w:ascii="Times New Roman" w:hAnsi="Times New Roman"/>
        </w:rPr>
        <w:t>Track 1 TMA-UI range: 0.34 to 0.59 (mean 0.50, standard deviation 0.11).</w:t>
      </w:r>
    </w:p>
    <w:p w:rsidR="00C03587" w:rsidRDefault="00000000">
      <w:pPr>
        <w:spacing w:before="240" w:after="80"/>
      </w:pPr>
      <w:r>
        <w:rPr>
          <w:rFonts w:ascii="Times New Roman" w:hAnsi="Times New Roman"/>
          <w:b/>
          <w:color w:val="005082"/>
          <w:sz w:val="24"/>
        </w:rPr>
        <w:t>5.2 MultiHeadMGN Architecture</w:t>
      </w:r>
    </w:p>
    <w:p w:rsidR="00C03587" w:rsidRDefault="00000000">
      <w:pPr>
        <w:spacing w:after="120"/>
        <w:jc w:val="both"/>
      </w:pPr>
      <w:r>
        <w:rPr>
          <w:rFonts w:ascii="Times New Roman" w:hAnsi="Times New Roman"/>
        </w:rPr>
        <w:t>The GNN surrogate follows MeshGraphNet [6] with three modifications: independent decoder heads per physics domain; LayerNorm after each hidden layer; species head loss weighted 50× to prioritise TMA learning.</w:t>
      </w:r>
    </w:p>
    <w:p w:rsidR="00C03587" w:rsidRDefault="00000000">
      <w:pPr>
        <w:pStyle w:val="ListBullet"/>
        <w:spacing w:after="60"/>
        <w:jc w:val="both"/>
      </w:pPr>
      <w:r>
        <w:rPr>
          <w:rFonts w:ascii="Times New Roman" w:hAnsi="Times New Roman"/>
          <w:b/>
        </w:rPr>
        <w:t xml:space="preserve">Input features [22]: </w:t>
      </w:r>
      <w:r>
        <w:rPr>
          <w:rFonts w:ascii="Times New Roman" w:hAnsi="Times New Roman"/>
        </w:rPr>
        <w:t>4 local node features (boundary condition type one-hot) + 18 global physics features (Re, Da, Pr, Sc, Pe_h, Pe_m, Eu, Ma, nozzle geometry ratios, thermal velocity, beta).</w:t>
      </w:r>
    </w:p>
    <w:p w:rsidR="00C03587" w:rsidRDefault="00000000">
      <w:pPr>
        <w:pStyle w:val="ListBullet"/>
        <w:spacing w:after="60"/>
        <w:jc w:val="both"/>
      </w:pPr>
      <w:r>
        <w:rPr>
          <w:rFonts w:ascii="Times New Roman" w:hAnsi="Times New Roman"/>
          <w:b/>
        </w:rPr>
        <w:t xml:space="preserve">Edge features [4]: </w:t>
      </w:r>
      <w:r>
        <w:rPr>
          <w:rFonts w:ascii="Times New Roman" w:hAnsi="Times New Roman"/>
        </w:rPr>
        <w:t>relative position (dx/d_med, dy/d_med, dz/d_med) and distance (dist/d_med), normalised by median edge length d_med.</w:t>
      </w:r>
    </w:p>
    <w:p w:rsidR="00C03587" w:rsidRDefault="00000000">
      <w:pPr>
        <w:pStyle w:val="ListBullet"/>
        <w:spacing w:after="60"/>
        <w:jc w:val="both"/>
      </w:pPr>
      <w:r>
        <w:rPr>
          <w:rFonts w:ascii="Times New Roman" w:hAnsi="Times New Roman"/>
          <w:b/>
        </w:rPr>
        <w:t xml:space="preserve">Message passing: </w:t>
      </w:r>
      <w:r>
        <w:rPr>
          <w:rFonts w:ascii="Times New Roman" w:hAnsi="Times New Roman"/>
        </w:rPr>
        <w:t>15 MGNProcessor layers. Each layer: edge update = MLP(concat(node_i, node_j, edge)) + residual; node update = MLP(concat(node, sum(edges))) + residual.</w:t>
      </w:r>
    </w:p>
    <w:p w:rsidR="00C03587" w:rsidRDefault="00000000">
      <w:pPr>
        <w:pStyle w:val="ListBullet"/>
        <w:spacing w:after="60"/>
        <w:jc w:val="both"/>
      </w:pPr>
      <w:r>
        <w:rPr>
          <w:rFonts w:ascii="Times New Roman" w:hAnsi="Times New Roman"/>
          <w:b/>
        </w:rPr>
        <w:t xml:space="preserve">Decoders: </w:t>
      </w:r>
      <w:r>
        <w:rPr>
          <w:rFonts w:ascii="Times New Roman" w:hAnsi="Times New Roman"/>
        </w:rPr>
        <w:t>Flow: 256 → [Ux, Uy, Uz, p]. Heat: 256 → [T]. Species: 256 → [TMA]. Total: 7.07M parameters.</w:t>
      </w:r>
    </w:p>
    <w:p w:rsidR="00C03587" w:rsidRDefault="00000000">
      <w:pPr>
        <w:spacing w:after="120"/>
        <w:jc w:val="both"/>
      </w:pPr>
      <w:r w:rsidRPr="00B41D41">
        <w:rPr>
          <w:rFonts w:ascii="Times New Roman" w:hAnsi="Times New Roman"/>
          <w:b/>
          <w:bCs/>
        </w:rPr>
        <w:lastRenderedPageBreak/>
        <w:t>Training:</w:t>
      </w:r>
      <w:r>
        <w:rPr>
          <w:rFonts w:ascii="Times New Roman" w:hAnsi="Times New Roman"/>
        </w:rPr>
        <w:t xml:space="preserve"> AdamW (lr = 3×10^-4, weight decay = 10^-4), cosine annealing, 200 epochs, Google Colab A100 </w:t>
      </w:r>
      <w:r>
        <w:rPr>
          <w:rFonts w:ascii="Times New Roman" w:hAnsi="Times New Roman"/>
          <w:b/>
        </w:rPr>
        <w:t>GPU</w:t>
      </w:r>
      <w:r>
        <w:rPr>
          <w:rFonts w:ascii="Times New Roman" w:hAnsi="Times New Roman"/>
        </w:rPr>
        <w:t xml:space="preserve"> (~2 hours). k-NN graphs (k=6) pre-cached to GPU. Split: 90% train / 10% val, seed = 42.</w:t>
      </w:r>
    </w:p>
    <w:p w:rsidR="00C03587" w:rsidRDefault="00000000">
      <w:pPr>
        <w:spacing w:before="240" w:after="80"/>
      </w:pPr>
      <w:r>
        <w:rPr>
          <w:rFonts w:ascii="Times New Roman" w:hAnsi="Times New Roman"/>
          <w:b/>
          <w:color w:val="005082"/>
          <w:sz w:val="24"/>
        </w:rPr>
        <w:t>5.3 Multi-Fidelity KPI Surrogate</w:t>
      </w:r>
    </w:p>
    <w:p w:rsidR="00C03587" w:rsidRDefault="00000000">
      <w:pPr>
        <w:spacing w:after="120"/>
        <w:jc w:val="both"/>
      </w:pPr>
      <w:r>
        <w:rPr>
          <w:rFonts w:ascii="Times New Roman" w:hAnsi="Times New Roman"/>
        </w:rPr>
        <w:t>TMA spatial gradients at the wafer surface exist only in a ~0.1 mm boundary layer, unresolvable at the current ~1 mm mesh cell size. We address this with a complementary multi-fidelity KPI surrogate trained on design-level features:</w:t>
      </w:r>
    </w:p>
    <w:p w:rsidR="00C03587" w:rsidRDefault="00000000">
      <w:pPr>
        <w:pStyle w:val="ListBullet"/>
        <w:spacing w:after="60"/>
        <w:jc w:val="both"/>
      </w:pPr>
      <w:r>
        <w:rPr>
          <w:rFonts w:ascii="Times New Roman" w:hAnsi="Times New Roman"/>
          <w:b/>
        </w:rPr>
        <w:t xml:space="preserve">Global physics features [18]: </w:t>
      </w:r>
      <w:r>
        <w:rPr>
          <w:rFonts w:ascii="Times New Roman" w:hAnsi="Times New Roman"/>
        </w:rPr>
        <w:t>Re, Ma, Eu, Pr, Sc, Pe_h, Pe_m, Da, nozzle diameter, pitch/D, plenum height, faceplate thickness, standoff, and derived geometric ratios.</w:t>
      </w:r>
    </w:p>
    <w:p w:rsidR="00C03587" w:rsidRDefault="00000000">
      <w:pPr>
        <w:pStyle w:val="ListBullet"/>
        <w:spacing w:after="60"/>
        <w:jc w:val="both"/>
      </w:pPr>
      <w:r>
        <w:rPr>
          <w:rFonts w:ascii="Times New Roman" w:hAnsi="Times New Roman"/>
          <w:b/>
        </w:rPr>
        <w:t xml:space="preserve">Wafer-plane CFD statistics [9]: </w:t>
      </w:r>
      <w:r>
        <w:rPr>
          <w:rFonts w:ascii="Times New Roman" w:hAnsi="Times New Roman"/>
        </w:rPr>
        <w:t>mean and standard deviation of Uz (vertical velocity), p (pressure), T (temperature), TMA concentration at wafer-plane cells, plus Uz-UI.</w:t>
      </w:r>
    </w:p>
    <w:p w:rsidR="00C03587" w:rsidRDefault="00000000">
      <w:pPr>
        <w:spacing w:after="120"/>
        <w:jc w:val="both"/>
      </w:pPr>
      <w:r>
        <w:rPr>
          <w:rFonts w:ascii="Times New Roman" w:hAnsi="Times New Roman"/>
        </w:rPr>
        <w:t>5-fold cross-validation results on all 120 cases:</w:t>
      </w:r>
    </w:p>
    <w:p w:rsidR="00C03587" w:rsidRDefault="00000000">
      <w:pPr>
        <w:spacing w:before="80" w:after="40"/>
        <w:jc w:val="center"/>
      </w:pPr>
      <w:r>
        <w:rPr>
          <w:rFonts w:ascii="Courier New" w:hAnsi="Courier New"/>
          <w:i/>
          <w:sz w:val="20"/>
        </w:rPr>
        <w:t>OOF R²  = 0.985       OOF Spearman ρ  = 0.947      (n = 120,  p &lt; 10⁻¹⁴)</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OOF = out-of-fold (each case predicted by a model that never saw it);  R² = coefficient of determination;  ρ = Spearman rank correlation (1.0 = perfect ranking).</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The multi-fidelity KPI surrogate (OOF ρ = 0.947) correctly ranks 95% of design pairs by TMA uniformity — sufficient for the optimizer to reliably identify high-performing designs across the combined Track 1 + Track 2 space.</w:t>
            </w:r>
          </w:p>
        </w:tc>
      </w:tr>
    </w:tbl>
    <w:p w:rsidR="00C03587" w:rsidRDefault="00C03587">
      <w:pPr>
        <w:spacing w:after="120"/>
      </w:pPr>
    </w:p>
    <w:p w:rsidR="00C03587" w:rsidRDefault="00000000">
      <w:pPr>
        <w:spacing w:before="240" w:after="80"/>
      </w:pPr>
      <w:r>
        <w:rPr>
          <w:rFonts w:ascii="Times New Roman" w:hAnsi="Times New Roman"/>
          <w:b/>
          <w:color w:val="003366"/>
          <w:sz w:val="28"/>
        </w:rPr>
        <w:t>6. Track 2 — Voxel-Implicit Computational Engineering Synthesis (VICES)</w:t>
      </w:r>
    </w:p>
    <w:p w:rsidR="00C03587" w:rsidRDefault="00000000">
      <w:pPr>
        <w:spacing w:before="240" w:after="80"/>
      </w:pPr>
      <w:r>
        <w:rPr>
          <w:rFonts w:ascii="Times New Roman" w:hAnsi="Times New Roman"/>
          <w:b/>
          <w:color w:val="005082"/>
          <w:sz w:val="24"/>
        </w:rPr>
        <w:t>6.1 SDF Primitives and CSG Boolean Operations</w:t>
      </w:r>
    </w:p>
    <w:p w:rsidR="00C03587" w:rsidRDefault="00000000">
      <w:pPr>
        <w:spacing w:after="120"/>
        <w:jc w:val="both"/>
      </w:pPr>
      <w:r>
        <w:rPr>
          <w:rFonts w:ascii="Times New Roman" w:hAnsi="Times New Roman"/>
        </w:rPr>
        <w:t>VICES builds geometry from four primitive SDF types (Cylinder, Box, Cone, Sphere). As an example, the cylinder SDF centred at (cx, cy, cz) with radius r and height h is:</w:t>
      </w:r>
    </w:p>
    <w:p w:rsidR="00C03587" w:rsidRDefault="00000000">
      <w:pPr>
        <w:spacing w:before="80" w:after="40"/>
        <w:jc w:val="center"/>
      </w:pPr>
      <w:r>
        <w:rPr>
          <w:rFonts w:ascii="Courier New" w:hAnsi="Courier New"/>
          <w:i/>
          <w:sz w:val="20"/>
        </w:rPr>
        <w:t>f_cyl(x,y,z)  =  max( √((x−cx)²+(y−cy)²) − r,   |z−cz| − h/2 )</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(cx, cy, cz) = cylinder centre coordinates [m];  r = cylinder radius [m];  h = cylinder height [m];  positive value = point is outside the solid;  negative value = point is inside the solid;  zero = point lies exactly on the surface.</w:t>
      </w:r>
    </w:p>
    <w:p w:rsidR="00C03587" w:rsidRDefault="00000000">
      <w:pPr>
        <w:spacing w:after="120"/>
        <w:jc w:val="both"/>
      </w:pPr>
      <w:r>
        <w:rPr>
          <w:rFonts w:ascii="Times New Roman" w:hAnsi="Times New Roman"/>
        </w:rPr>
        <w:t>Boolean operations on SDFs reduce to elementwise arithmetic:</w:t>
      </w:r>
    </w:p>
    <w:p w:rsidR="00C03587" w:rsidRDefault="00000000">
      <w:pPr>
        <w:spacing w:before="80" w:after="40"/>
        <w:jc w:val="center"/>
      </w:pPr>
      <w:r>
        <w:rPr>
          <w:rFonts w:ascii="Courier New" w:hAnsi="Courier New"/>
          <w:i/>
          <w:sz w:val="20"/>
        </w:rPr>
        <w:t>Union(A, B)      →  f = min(f_A, f_B)    [inside either shape]</w:t>
      </w:r>
    </w:p>
    <w:p w:rsidR="00C03587" w:rsidRDefault="00000000">
      <w:pPr>
        <w:spacing w:before="80" w:after="40"/>
        <w:jc w:val="center"/>
      </w:pPr>
      <w:r>
        <w:rPr>
          <w:rFonts w:ascii="Courier New" w:hAnsi="Courier New"/>
          <w:i/>
          <w:sz w:val="20"/>
        </w:rPr>
        <w:t>Subtract(A, B)   →  f = max(f_A, −f_B)   [A minus B]</w:t>
      </w:r>
    </w:p>
    <w:p w:rsidR="00C03587" w:rsidRDefault="00000000">
      <w:pPr>
        <w:spacing w:before="80" w:after="40"/>
        <w:jc w:val="center"/>
      </w:pPr>
      <w:r>
        <w:rPr>
          <w:rFonts w:ascii="Courier New" w:hAnsi="Courier New"/>
          <w:i/>
          <w:sz w:val="20"/>
        </w:rPr>
        <w:t>Intersect(A, B)  →  f = max(f_A, f_B)    [inside both shapes]</w:t>
      </w:r>
    </w:p>
    <w:p w:rsidR="00C03587" w:rsidRDefault="00000000">
      <w:pPr>
        <w:spacing w:before="40" w:after="120"/>
        <w:ind w:left="567"/>
        <w:rPr>
          <w:rFonts w:ascii="Times New Roman" w:hAnsi="Times New Roman"/>
          <w:i/>
          <w:sz w:val="20"/>
        </w:rPr>
      </w:pPr>
      <w:r>
        <w:rPr>
          <w:rFonts w:ascii="Times New Roman" w:hAnsi="Times New Roman"/>
          <w:b/>
          <w:sz w:val="20"/>
        </w:rPr>
        <w:t xml:space="preserve">Where:  </w:t>
      </w:r>
      <w:r>
        <w:rPr>
          <w:rFonts w:ascii="Times New Roman" w:hAnsi="Times New Roman"/>
          <w:i/>
          <w:sz w:val="20"/>
        </w:rPr>
        <w:t xml:space="preserve">f_A, f_B = SDF values for shapes A and B evaluated at the same </w:t>
      </w:r>
      <w:proofErr w:type="gramStart"/>
      <w:r>
        <w:rPr>
          <w:rFonts w:ascii="Times New Roman" w:hAnsi="Times New Roman"/>
          <w:i/>
          <w:sz w:val="20"/>
        </w:rPr>
        <w:t>point;  min</w:t>
      </w:r>
      <w:proofErr w:type="gramEnd"/>
      <w:r>
        <w:rPr>
          <w:rFonts w:ascii="Times New Roman" w:hAnsi="Times New Roman"/>
          <w:i/>
          <w:sz w:val="20"/>
        </w:rPr>
        <w:t xml:space="preserve"> selects the nearer surface (union</w:t>
      </w:r>
      <w:proofErr w:type="gramStart"/>
      <w:r>
        <w:rPr>
          <w:rFonts w:ascii="Times New Roman" w:hAnsi="Times New Roman"/>
          <w:i/>
          <w:sz w:val="20"/>
        </w:rPr>
        <w:t>);  max</w:t>
      </w:r>
      <w:proofErr w:type="gramEnd"/>
      <w:r>
        <w:rPr>
          <w:rFonts w:ascii="Times New Roman" w:hAnsi="Times New Roman"/>
          <w:i/>
          <w:sz w:val="20"/>
        </w:rPr>
        <w:t>(f_A, −f_B) flips the inside/outside sense of B before intersection.</w:t>
      </w:r>
    </w:p>
    <w:p w:rsidR="00B41D41" w:rsidRDefault="00B41D41">
      <w:pPr>
        <w:spacing w:before="40" w:after="120"/>
        <w:ind w:left="567"/>
      </w:pPr>
    </w:p>
    <w:p w:rsidR="00B41D41" w:rsidRDefault="00B41D41">
      <w:pPr>
        <w:spacing w:before="40" w:after="120"/>
        <w:ind w:left="567"/>
      </w:pP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lastRenderedPageBreak/>
              <w:t>Intuition — What does an SDF actually look like — and why is it so useful?</w:t>
            </w:r>
            <w:r>
              <w:rPr>
                <w:rFonts w:ascii="Times New Roman" w:hAnsi="Times New Roman"/>
                <w:b/>
                <w:color w:val="34495E"/>
                <w:sz w:val="20"/>
              </w:rPr>
              <w:br/>
            </w:r>
            <w:r>
              <w:rPr>
                <w:rFonts w:ascii="Times New Roman" w:hAnsi="Times New Roman"/>
                <w:i/>
                <w:color w:val="2C3E50"/>
                <w:sz w:val="20"/>
              </w:rPr>
              <w:t>"Think of an SDF as a height map painted around an object. Stand outside: the number is positive and tells you exactly how far you are from the surface. Stand inside: the number is negative. Stand on the surface: the number is exactly zero. The beautiful part: to combine two shapes, you just compare two numbers at each grid point. Union = take whichever surface is closer (the minimum). Subtraction = flip one object inside-out (negate its field), then take the intersection. No mesh cutting, no geometry kernels — just arithmetic."</w:t>
            </w:r>
          </w:p>
        </w:tc>
      </w:tr>
    </w:tbl>
    <w:p w:rsidR="00C03587" w:rsidRDefault="00C03587">
      <w:pPr>
        <w:spacing w:after="120"/>
      </w:pPr>
    </w:p>
    <w:p w:rsidR="00C03587" w:rsidRDefault="00000000">
      <w:pPr>
        <w:spacing w:before="240" w:after="80"/>
      </w:pPr>
      <w:r>
        <w:rPr>
          <w:rFonts w:ascii="Times New Roman" w:hAnsi="Times New Roman"/>
          <w:b/>
          <w:color w:val="005082"/>
          <w:sz w:val="24"/>
        </w:rPr>
        <w:t>6.2 Catalan Number Design Space Characterisation</w:t>
      </w:r>
    </w:p>
    <w:p w:rsidR="00C03587" w:rsidRDefault="00000000">
      <w:pPr>
        <w:spacing w:after="120"/>
        <w:jc w:val="both"/>
      </w:pPr>
      <w:r>
        <w:rPr>
          <w:rFonts w:ascii="Times New Roman" w:hAnsi="Times New Roman"/>
        </w:rPr>
        <w:t>A CSG tree is a binary tree where internal nodes are boolean operations and leaf nodes are primitives. For n primitives, the number of distinct binary tree topologies is the (n−1)-th Catalan number:</w:t>
      </w:r>
    </w:p>
    <w:p w:rsidR="00C03587" w:rsidRDefault="00000000">
      <w:pPr>
        <w:spacing w:before="80" w:after="40"/>
        <w:jc w:val="center"/>
      </w:pPr>
      <w:r>
        <w:rPr>
          <w:rFonts w:ascii="Courier New" w:hAnsi="Courier New"/>
          <w:i/>
          <w:sz w:val="20"/>
        </w:rPr>
        <w:t>C(n) = C(2n, n) / (n+1)  =  1, 1, 2, 5, 14, 42, 132, 429, ...</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C(2n, n) = binomial coefficient "2n choose n";  n+1 = normalisation factor;  first few values correspond to n = 0, 1, 2, 3, 4, 5, 6, 7 primitives.</w:t>
      </w:r>
    </w:p>
    <w:p w:rsidR="00C03587" w:rsidRDefault="00000000">
      <w:pPr>
        <w:spacing w:after="120"/>
        <w:jc w:val="both"/>
      </w:pPr>
      <w:r>
        <w:rPr>
          <w:rFonts w:ascii="Times New Roman" w:hAnsi="Times New Roman"/>
        </w:rPr>
        <w:t>With 3 operation types per node, the full CSG expression count for n primitives is C(n−1) × 3^(n−1). For 6 primitives: C(5) = 42 topologies × 3^5 = 243 assignments = 10,206 distinct CSG expressions before varying any dimension.</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do Catalan numbers matter for showerhead design?</w:t>
            </w:r>
            <w:r>
              <w:rPr>
                <w:rFonts w:ascii="Times New Roman" w:hAnsi="Times New Roman"/>
                <w:b/>
                <w:color w:val="34495E"/>
                <w:sz w:val="20"/>
              </w:rPr>
              <w:br/>
            </w:r>
            <w:r>
              <w:rPr>
                <w:rFonts w:ascii="Times New Roman" w:hAnsi="Times New Roman"/>
                <w:i/>
                <w:color w:val="2C3E50"/>
                <w:sz w:val="20"/>
              </w:rPr>
              <w:t>"Catalan numbers count the number of ways to fully parenthesise n items. With 6 primitive shapes, you have 42 fundamentally different ways to nest the boolean operations — each giving a different internal geometry. A slider-based parametric tool is locked to one of these 42 topologies; VICES searches all of them. This is why Track 2 can find a 130% better design: it is literally searching in a space that Track 1 cannot even see."</w:t>
            </w:r>
          </w:p>
        </w:tc>
      </w:tr>
    </w:tbl>
    <w:p w:rsidR="00C03587" w:rsidRDefault="00C03587">
      <w:pPr>
        <w:spacing w:after="120"/>
      </w:pPr>
    </w:p>
    <w:p w:rsidR="00C03587" w:rsidRDefault="00000000">
      <w:pPr>
        <w:spacing w:before="240" w:after="80"/>
      </w:pPr>
      <w:r>
        <w:rPr>
          <w:rFonts w:ascii="Times New Roman" w:hAnsi="Times New Roman"/>
          <w:b/>
          <w:color w:val="005082"/>
          <w:sz w:val="24"/>
        </w:rPr>
        <w:t>6.3 Marching Cubes Triangulation</w:t>
      </w:r>
    </w:p>
    <w:p w:rsidR="00C03587" w:rsidRDefault="00000000">
      <w:pPr>
        <w:spacing w:after="120"/>
        <w:jc w:val="both"/>
      </w:pPr>
      <w:r>
        <w:rPr>
          <w:rFonts w:ascii="Times New Roman" w:hAnsi="Times New Roman"/>
        </w:rPr>
        <w:t>The CSG tree is evaluated on a 64^3 voxel grid. Marching Cubes [10] processes each 2×2×2 cube of voxels: 8 binary inside/outside corners give 256 configurations, reducing to 15 unique surface topologies by symmetry. A precomputed lookup table places triangles on voxel edges where the SDF changes sign (the iso-surface at f = 0). Critical implementation note: the voxeliser must apply per-axis spacing (sx, sy, sz) rather than a single isotropic spacing to avoid geometric distortion in non-cubic domains (e.g. a 23 mm tall × 150 mm wide showerhead would otherwise be vertically stretched by ~5×).</w:t>
      </w:r>
    </w:p>
    <w:p w:rsidR="00C03587" w:rsidRDefault="00000000">
      <w:pPr>
        <w:spacing w:before="240" w:after="80"/>
      </w:pPr>
      <w:r>
        <w:rPr>
          <w:rFonts w:ascii="Times New Roman" w:hAnsi="Times New Roman"/>
          <w:b/>
          <w:color w:val="005082"/>
          <w:sz w:val="24"/>
        </w:rPr>
        <w:t>6.4 Topology Families</w:t>
      </w:r>
    </w:p>
    <w:p w:rsidR="00C03587" w:rsidRDefault="00000000">
      <w:pPr>
        <w:pStyle w:val="ListBullet"/>
        <w:spacing w:after="60"/>
        <w:jc w:val="both"/>
      </w:pPr>
      <w:r>
        <w:rPr>
          <w:rFonts w:ascii="Times New Roman" w:hAnsi="Times New Roman"/>
          <w:b/>
        </w:rPr>
        <w:t xml:space="preserve">Type A — Baffled Plenum: </w:t>
      </w:r>
      <w:r>
        <w:rPr>
          <w:rFonts w:ascii="Times New Roman" w:hAnsi="Times New Roman"/>
        </w:rPr>
        <w:t>annular baffle (cylinder minus central hole) subtracted from plenum body forces radial gas redistribution. CSG: Subtract(Subtract(Plenum, BaffleAnnulus), NozzleUnion). Parameter: baffle_frac (z-position as fraction of plenum height, 0.2–0.8).</w:t>
      </w:r>
    </w:p>
    <w:p w:rsidR="00C03587" w:rsidRDefault="00000000">
      <w:pPr>
        <w:pStyle w:val="ListBullet"/>
        <w:spacing w:after="60"/>
        <w:jc w:val="both"/>
      </w:pPr>
      <w:r>
        <w:rPr>
          <w:rFonts w:ascii="Times New Roman" w:hAnsi="Times New Roman"/>
          <w:b/>
        </w:rPr>
        <w:t xml:space="preserve">Type B — Conical Diffuser: </w:t>
      </w:r>
      <w:r>
        <w:rPr>
          <w:rFonts w:ascii="Times New Roman" w:hAnsi="Times New Roman"/>
        </w:rPr>
        <w:t>cone protruding from inlet deflects gas jet radially. CSG: Subtract(Subtract(Plenum, Cone), NozzleUnion). Parameter: cone_r_frac (cone base radius fraction, 0.2–0.6).</w:t>
      </w:r>
    </w:p>
    <w:p w:rsidR="00C03587" w:rsidRDefault="00000000">
      <w:pPr>
        <w:pStyle w:val="ListBullet"/>
        <w:spacing w:after="60"/>
        <w:jc w:val="both"/>
      </w:pPr>
      <w:r>
        <w:rPr>
          <w:rFonts w:ascii="Times New Roman" w:hAnsi="Times New Roman"/>
          <w:b/>
        </w:rPr>
        <w:lastRenderedPageBreak/>
        <w:t xml:space="preserve">Type C — Annular Ring Nozzles: </w:t>
      </w:r>
      <w:r>
        <w:rPr>
          <w:rFonts w:ascii="Times New Roman" w:hAnsi="Times New Roman"/>
        </w:rPr>
        <w:t>nozzles in concentric equally-spaced rings instead of hex packing. CSG: Subtract(Plenum, Union(Ring_0, Ring_1, ...)). Parameter: n_rings (2–5).</w:t>
      </w:r>
    </w:p>
    <w:p w:rsidR="00C03587" w:rsidRDefault="00000000">
      <w:pPr>
        <w:pStyle w:val="ListBullet"/>
        <w:spacing w:after="60"/>
        <w:jc w:val="both"/>
      </w:pPr>
      <w:r>
        <w:rPr>
          <w:rFonts w:ascii="Times New Roman" w:hAnsi="Times New Roman"/>
          <w:b/>
        </w:rPr>
        <w:t xml:space="preserve">Type D — Two-Zone Plenum: </w:t>
      </w:r>
      <w:r>
        <w:rPr>
          <w:rFonts w:ascii="Times New Roman" w:hAnsi="Times New Roman"/>
        </w:rPr>
        <w:t>annular divider ring separates plenum into inner and outer flow zones. CSG: Subtract(Subtract(Plenum, DividerRing), NozzleUnion). Parameter: divider_r_frac (inner radius fraction, 0.3–0.65).</w:t>
      </w:r>
    </w:p>
    <w:p w:rsidR="00C03587" w:rsidRDefault="00000000">
      <w:pPr>
        <w:spacing w:before="240" w:after="80"/>
      </w:pPr>
      <w:r>
        <w:rPr>
          <w:rFonts w:ascii="Times New Roman" w:hAnsi="Times New Roman"/>
          <w:b/>
          <w:color w:val="005082"/>
          <w:sz w:val="24"/>
        </w:rPr>
        <w:t>6.5 OpenFOAM CFD Integration</w:t>
      </w:r>
    </w:p>
    <w:p w:rsidR="00B76CA8" w:rsidRDefault="00000000">
      <w:pPr>
        <w:spacing w:after="120"/>
        <w:jc w:val="both"/>
        <w:rPr>
          <w:rFonts w:ascii="Times New Roman" w:hAnsi="Times New Roman"/>
        </w:rPr>
      </w:pPr>
      <w:r>
        <w:rPr>
          <w:rFonts w:ascii="Times New Roman" w:hAnsi="Times New Roman"/>
        </w:rPr>
        <w:t xml:space="preserve">40 Track 2 CFD cases were generated — 9 per topology type plus 4 special variants. Three key integration decisions: </w:t>
      </w:r>
    </w:p>
    <w:p w:rsidR="00B76CA8" w:rsidRDefault="00000000">
      <w:pPr>
        <w:spacing w:after="120"/>
        <w:jc w:val="both"/>
        <w:rPr>
          <w:rFonts w:ascii="Times New Roman" w:hAnsi="Times New Roman"/>
        </w:rPr>
      </w:pPr>
      <w:r>
        <w:rPr>
          <w:rFonts w:ascii="Times New Roman" w:hAnsi="Times New Roman"/>
        </w:rPr>
        <w:t xml:space="preserve">(1) wall-only </w:t>
      </w:r>
      <w:r w:rsidRPr="00B76CA8">
        <w:rPr>
          <w:rFonts w:ascii="Times New Roman" w:hAnsi="Times New Roman"/>
          <w:b/>
          <w:bCs/>
        </w:rPr>
        <w:t>STL</w:t>
      </w:r>
      <w:r w:rsidR="00B76CA8">
        <w:rPr>
          <w:rFonts w:ascii="Times New Roman" w:hAnsi="Times New Roman"/>
        </w:rPr>
        <w:t>*</w:t>
      </w:r>
      <w:r>
        <w:rPr>
          <w:rFonts w:ascii="Times New Roman" w:hAnsi="Times New Roman"/>
        </w:rPr>
        <w:t xml:space="preserve"> export (inlet opening and nozzle exits excluded, handled by blockMesh patches);</w:t>
      </w:r>
    </w:p>
    <w:p w:rsidR="00B76CA8" w:rsidRDefault="00000000">
      <w:pPr>
        <w:spacing w:after="120"/>
        <w:jc w:val="both"/>
        <w:rPr>
          <w:rFonts w:ascii="Times New Roman" w:hAnsi="Times New Roman"/>
        </w:rPr>
      </w:pPr>
      <w:r>
        <w:rPr>
          <w:rFonts w:ascii="Times New Roman" w:hAnsi="Times New Roman"/>
        </w:rPr>
        <w:t xml:space="preserve">(2) blockMesh extended below z = 0 to include standoff region, with locationInMesh in standoff so blockMesh inlet/outlet patches survive snappyHexMesh; </w:t>
      </w:r>
    </w:p>
    <w:p w:rsidR="00C03587" w:rsidRDefault="00000000">
      <w:pPr>
        <w:spacing w:after="120"/>
        <w:jc w:val="both"/>
        <w:rPr>
          <w:rFonts w:ascii="Times New Roman" w:hAnsi="Times New Roman"/>
        </w:rPr>
      </w:pPr>
      <w:r>
        <w:rPr>
          <w:rFonts w:ascii="Times New Roman" w:hAnsi="Times New Roman"/>
        </w:rPr>
        <w:t>(3) TMA evaluated at peak-TMA timestep (t ≈ 0.10 s, end of precursor pulse) rather than final timestep (t = 0.24 s, purge phase, TMA ≈ 0). Track 2 TMA-UI range: 0.00–0.86 (mean 0.41, 28/40 cases non-zero).</w:t>
      </w:r>
    </w:p>
    <w:p w:rsidR="00B76CA8" w:rsidRPr="00B76CA8" w:rsidRDefault="00B76CA8" w:rsidP="00B76CA8">
      <w:pPr>
        <w:spacing w:after="120"/>
        <w:jc w:val="both"/>
        <w:rPr>
          <w:rFonts w:ascii="Times New Roman" w:hAnsi="Times New Roman"/>
        </w:rPr>
      </w:pPr>
      <w:r>
        <w:rPr>
          <w:rFonts w:ascii="Times New Roman" w:hAnsi="Times New Roman"/>
        </w:rPr>
        <w:t>*</w:t>
      </w:r>
      <w:r w:rsidRPr="00B76CA8">
        <w:t xml:space="preserve"> </w:t>
      </w:r>
      <w:r w:rsidRPr="00B76CA8">
        <w:rPr>
          <w:rFonts w:ascii="Times New Roman" w:hAnsi="Times New Roman"/>
          <w:b/>
          <w:bCs/>
        </w:rPr>
        <w:t xml:space="preserve">STL </w:t>
      </w:r>
      <w:r w:rsidRPr="00B76CA8">
        <w:rPr>
          <w:rFonts w:ascii="Times New Roman" w:hAnsi="Times New Roman"/>
        </w:rPr>
        <w:t xml:space="preserve">= Standard Tessellation Language (also called </w:t>
      </w:r>
      <w:r w:rsidRPr="00B76CA8">
        <w:rPr>
          <w:rFonts w:ascii="Times New Roman" w:hAnsi="Times New Roman"/>
          <w:b/>
          <w:bCs/>
        </w:rPr>
        <w:t>Standard Triangle Language</w:t>
      </w:r>
      <w:r w:rsidRPr="00B76CA8">
        <w:rPr>
          <w:rFonts w:ascii="Times New Roman" w:hAnsi="Times New Roman"/>
        </w:rPr>
        <w:t>).</w:t>
      </w:r>
      <w:r>
        <w:rPr>
          <w:rFonts w:ascii="Times New Roman" w:hAnsi="Times New Roman"/>
        </w:rPr>
        <w:t xml:space="preserve"> </w:t>
      </w:r>
      <w:r w:rsidRPr="00B76CA8">
        <w:rPr>
          <w:rFonts w:ascii="Times New Roman" w:hAnsi="Times New Roman"/>
        </w:rPr>
        <w:t>It is a file</w:t>
      </w:r>
      <w:r>
        <w:rPr>
          <w:rFonts w:ascii="Times New Roman" w:hAnsi="Times New Roman"/>
        </w:rPr>
        <w:t xml:space="preserve"> </w:t>
      </w:r>
      <w:r w:rsidRPr="00B76CA8">
        <w:rPr>
          <w:rFonts w:ascii="Times New Roman" w:hAnsi="Times New Roman"/>
        </w:rPr>
        <w:t>format that represents a 3D surface as a collection of triangles. Each triangle is defined by:</w:t>
      </w:r>
    </w:p>
    <w:p w:rsidR="00B76CA8" w:rsidRPr="00B76CA8" w:rsidRDefault="00B76CA8" w:rsidP="00B76CA8">
      <w:pPr>
        <w:spacing w:after="120"/>
        <w:jc w:val="both"/>
        <w:rPr>
          <w:rFonts w:ascii="Times New Roman" w:hAnsi="Times New Roman"/>
        </w:rPr>
      </w:pPr>
      <w:r w:rsidRPr="00B76CA8">
        <w:rPr>
          <w:rFonts w:ascii="Times New Roman" w:hAnsi="Times New Roman"/>
        </w:rPr>
        <w:t xml:space="preserve">  - 3 vertex coordinates (x, y, z)</w:t>
      </w:r>
    </w:p>
    <w:p w:rsidR="00B76CA8" w:rsidRDefault="00B76CA8" w:rsidP="00B76CA8">
      <w:pPr>
        <w:spacing w:after="120"/>
        <w:jc w:val="both"/>
      </w:pPr>
      <w:r w:rsidRPr="00B76CA8">
        <w:rPr>
          <w:rFonts w:ascii="Times New Roman" w:hAnsi="Times New Roman"/>
        </w:rPr>
        <w:t xml:space="preserve">  - 1 normal vector (direction the surface faces)</w:t>
      </w:r>
    </w:p>
    <w:p w:rsidR="00C03587" w:rsidRDefault="00000000">
      <w:pPr>
        <w:spacing w:before="240" w:after="80"/>
      </w:pPr>
      <w:r>
        <w:rPr>
          <w:rFonts w:ascii="Times New Roman" w:hAnsi="Times New Roman"/>
          <w:b/>
          <w:color w:val="003366"/>
          <w:sz w:val="28"/>
        </w:rPr>
        <w:t>7. Results and Discussion</w:t>
      </w:r>
    </w:p>
    <w:p w:rsidR="00C03587" w:rsidRDefault="00000000">
      <w:pPr>
        <w:spacing w:before="240" w:after="80"/>
      </w:pPr>
      <w:r>
        <w:rPr>
          <w:rFonts w:ascii="Times New Roman" w:hAnsi="Times New Roman"/>
          <w:b/>
          <w:color w:val="005082"/>
          <w:sz w:val="24"/>
        </w:rPr>
        <w:t>7.1 Track 2 Topology Optimizer Results</w:t>
      </w:r>
    </w:p>
    <w:p w:rsidR="00C03587" w:rsidRDefault="00000000">
      <w:pPr>
        <w:spacing w:after="120"/>
        <w:jc w:val="both"/>
      </w:pPr>
      <w:r>
        <w:rPr>
          <w:rFonts w:ascii="Times New Roman" w:hAnsi="Times New Roman"/>
        </w:rPr>
        <w:t>We compare two search strategies for Track 2 topology optimisation, both using the same KPI surrogate ensemble (OOF ρ = 0.947):</w:t>
      </w:r>
    </w:p>
    <w:p w:rsidR="00C03587" w:rsidRDefault="00000000">
      <w:pPr>
        <w:pStyle w:val="ListBullet"/>
        <w:spacing w:after="60"/>
        <w:jc w:val="both"/>
      </w:pPr>
      <w:r>
        <w:rPr>
          <w:rFonts w:ascii="Times New Roman" w:hAnsi="Times New Roman"/>
          <w:b/>
        </w:rPr>
        <w:t xml:space="preserve">Random search: </w:t>
      </w:r>
      <w:r>
        <w:rPr>
          <w:rFonts w:ascii="Times New Roman" w:hAnsi="Times New Roman"/>
        </w:rPr>
        <w:t>1,200 candidates uniformly sampled across four topology types. Best TMA-UI = 0.895 (Type C — annular rings).</w:t>
      </w:r>
    </w:p>
    <w:p w:rsidR="00C03587" w:rsidRDefault="00000000">
      <w:pPr>
        <w:pStyle w:val="ListBullet"/>
        <w:spacing w:after="60"/>
        <w:jc w:val="both"/>
      </w:pPr>
      <w:r>
        <w:rPr>
          <w:rFonts w:ascii="Times New Roman" w:hAnsi="Times New Roman"/>
          <w:b/>
        </w:rPr>
        <w:t xml:space="preserve">Genetic Algorithm (GA): </w:t>
      </w:r>
      <w:r>
        <w:rPr>
          <w:rFonts w:ascii="Times New Roman" w:hAnsi="Times New Roman"/>
        </w:rPr>
        <w:t>chromosome [topology_type, D, Q, H, pitch/D, extra_param]; 40 population × 50 generations = 2,000 evaluations; tournament selection (k=3), uniform crossover, Gaussian mutation, elitism (top 2 preserved). Best TMA-UI = 0.971 (Type A — baffled plenum). GA improvement over random: +0.076 (+8.5%).</w:t>
      </w:r>
    </w:p>
    <w:p w:rsidR="00C03587" w:rsidRDefault="00000000">
      <w:pPr>
        <w:spacing w:after="120"/>
        <w:jc w:val="both"/>
      </w:pPr>
      <w:r>
        <w:rPr>
          <w:rFonts w:ascii="Times New Roman" w:hAnsi="Times New Roman"/>
        </w:rPr>
        <w:t>Figure 2 shows the GA convergence curve, Pareto front comparison, and best-per-type bar chart. The GA consistently outperforms random search across all topology types, demonstrating that guided, Catalan-aware topology search extracts further value from the same surrogate model without any additional CFD simulations.</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is the key question here — and does our result answer it?</w:t>
            </w:r>
            <w:r>
              <w:rPr>
                <w:rFonts w:ascii="Times New Roman" w:hAnsi="Times New Roman"/>
                <w:b/>
                <w:color w:val="34495E"/>
                <w:sz w:val="20"/>
              </w:rPr>
              <w:br/>
            </w:r>
            <w:r>
              <w:rPr>
                <w:rFonts w:ascii="Times New Roman" w:hAnsi="Times New Roman"/>
                <w:i/>
                <w:color w:val="2C3E50"/>
                <w:sz w:val="20"/>
              </w:rPr>
              <w:t>"The question is not whether Track 2 is merely better in absolute terms. The question is whether Track 2 finds designs that Track 1 structurally cannot represent at any parameter setting. A +130% TMA-UI improvement (0.344 → 0.792) answers yes definitively: the annular ring geometry sits in a topological space unreachable by any hex-array parameter combination, no matter how many sliders you move."</w:t>
            </w:r>
          </w:p>
        </w:tc>
      </w:tr>
    </w:tbl>
    <w:p w:rsidR="00C03587" w:rsidRDefault="00C03587">
      <w:pPr>
        <w:spacing w:after="120"/>
      </w:pPr>
    </w:p>
    <w:p w:rsidR="00C03587" w:rsidRDefault="00000000">
      <w:pPr>
        <w:jc w:val="center"/>
      </w:pPr>
      <w:r>
        <w:rPr>
          <w:noProof/>
        </w:rPr>
        <w:drawing>
          <wp:inline distT="0" distB="0" distL="0" distR="0">
            <wp:extent cx="5486400" cy="1702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2_ga_comparison.png"/>
                    <pic:cNvPicPr/>
                  </pic:nvPicPr>
                  <pic:blipFill>
                    <a:blip r:embed="rId7"/>
                    <a:stretch>
                      <a:fillRect/>
                    </a:stretch>
                  </pic:blipFill>
                  <pic:spPr>
                    <a:xfrm>
                      <a:off x="0" y="0"/>
                      <a:ext cx="5486400" cy="1702993"/>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2 — GA vs random search comparison for Track 2 topology optimisation. Left: GA convergence curve (best TMA-UI per generation) vs random search baseline. The GA reaches 0.971 by generation 30, a +8.5% improvement over random search (0.895). Centre: Pareto front comparison — GA (blue) dominates random search (red) across all Reynolds number values. Right: Best TMA-UI per topology type — GA (dark blue) vs random search (light purple). Improvements labelled in blue where GA exceeds random search.</w:t>
      </w:r>
    </w:p>
    <w:p w:rsidR="00C03587" w:rsidRDefault="00000000">
      <w:pPr>
        <w:spacing w:after="120"/>
        <w:jc w:val="both"/>
      </w:pPr>
      <w:r>
        <w:rPr>
          <w:rFonts w:ascii="Times New Roman" w:hAnsi="Times New Roman"/>
        </w:rPr>
        <w:t>Best design per topology type (Table 1):</w:t>
      </w:r>
    </w:p>
    <w:tbl>
      <w:tblPr>
        <w:tblStyle w:val="TableGrid"/>
        <w:tblW w:w="0" w:type="auto"/>
        <w:tblLook w:val="04A0" w:firstRow="1" w:lastRow="0" w:firstColumn="1" w:lastColumn="0" w:noHBand="0" w:noVBand="1"/>
      </w:tblPr>
      <w:tblGrid>
        <w:gridCol w:w="2245"/>
        <w:gridCol w:w="1620"/>
        <w:gridCol w:w="1620"/>
        <w:gridCol w:w="1578"/>
        <w:gridCol w:w="1765"/>
      </w:tblGrid>
      <w:tr w:rsidR="00C03587" w:rsidTr="00F600D5">
        <w:tc>
          <w:tcPr>
            <w:tcW w:w="2245" w:type="dxa"/>
          </w:tcPr>
          <w:p w:rsidR="00C03587" w:rsidRDefault="00000000">
            <w:r>
              <w:rPr>
                <w:b/>
                <w:sz w:val="18"/>
              </w:rPr>
              <w:t>Geometry Type</w:t>
            </w:r>
          </w:p>
        </w:tc>
        <w:tc>
          <w:tcPr>
            <w:tcW w:w="1620" w:type="dxa"/>
          </w:tcPr>
          <w:p w:rsidR="00C03587" w:rsidRDefault="00000000">
            <w:r>
              <w:rPr>
                <w:b/>
                <w:sz w:val="18"/>
              </w:rPr>
              <w:t>Best TMA-UI</w:t>
            </w:r>
          </w:p>
        </w:tc>
        <w:tc>
          <w:tcPr>
            <w:tcW w:w="1620" w:type="dxa"/>
          </w:tcPr>
          <w:p w:rsidR="00C03587" w:rsidRDefault="00000000">
            <w:r>
              <w:rPr>
                <w:b/>
                <w:sz w:val="18"/>
              </w:rPr>
              <w:t>D [mm]</w:t>
            </w:r>
          </w:p>
        </w:tc>
        <w:tc>
          <w:tcPr>
            <w:tcW w:w="1578" w:type="dxa"/>
          </w:tcPr>
          <w:p w:rsidR="00C03587" w:rsidRDefault="00000000">
            <w:r>
              <w:rPr>
                <w:b/>
                <w:sz w:val="18"/>
              </w:rPr>
              <w:t>Q [slm]</w:t>
            </w:r>
          </w:p>
        </w:tc>
        <w:tc>
          <w:tcPr>
            <w:tcW w:w="1765" w:type="dxa"/>
          </w:tcPr>
          <w:p w:rsidR="00C03587" w:rsidRDefault="00000000">
            <w:r>
              <w:rPr>
                <w:b/>
                <w:sz w:val="18"/>
              </w:rPr>
              <w:t>Re</w:t>
            </w:r>
          </w:p>
        </w:tc>
      </w:tr>
      <w:tr w:rsidR="00C03587" w:rsidTr="00F600D5">
        <w:tc>
          <w:tcPr>
            <w:tcW w:w="2245" w:type="dxa"/>
          </w:tcPr>
          <w:p w:rsidR="00C03587" w:rsidRDefault="00000000">
            <w:r>
              <w:rPr>
                <w:sz w:val="18"/>
              </w:rPr>
              <w:t>Track 1 — Hex array (baseline)</w:t>
            </w:r>
          </w:p>
        </w:tc>
        <w:tc>
          <w:tcPr>
            <w:tcW w:w="1620" w:type="dxa"/>
          </w:tcPr>
          <w:p w:rsidR="00C03587" w:rsidRDefault="00000000">
            <w:r>
              <w:rPr>
                <w:sz w:val="18"/>
              </w:rPr>
              <w:t>0.344</w:t>
            </w:r>
          </w:p>
        </w:tc>
        <w:tc>
          <w:tcPr>
            <w:tcW w:w="1620" w:type="dxa"/>
          </w:tcPr>
          <w:p w:rsidR="00C03587" w:rsidRDefault="00000000">
            <w:r>
              <w:rPr>
                <w:sz w:val="18"/>
              </w:rPr>
              <w:t>2.9</w:t>
            </w:r>
          </w:p>
        </w:tc>
        <w:tc>
          <w:tcPr>
            <w:tcW w:w="1578" w:type="dxa"/>
          </w:tcPr>
          <w:p w:rsidR="00C03587" w:rsidRDefault="00000000">
            <w:r>
              <w:rPr>
                <w:sz w:val="18"/>
              </w:rPr>
              <w:t>0.6</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A — Baffled  (random)</w:t>
            </w:r>
          </w:p>
        </w:tc>
        <w:tc>
          <w:tcPr>
            <w:tcW w:w="1620" w:type="dxa"/>
          </w:tcPr>
          <w:p w:rsidR="00C03587" w:rsidRDefault="00000000">
            <w:r>
              <w:rPr>
                <w:b/>
                <w:sz w:val="18"/>
              </w:rPr>
              <w:t>0.774</w:t>
            </w:r>
          </w:p>
        </w:tc>
        <w:tc>
          <w:tcPr>
            <w:tcW w:w="1620" w:type="dxa"/>
          </w:tcPr>
          <w:p w:rsidR="00C03587" w:rsidRDefault="00000000">
            <w:r>
              <w:rPr>
                <w:sz w:val="18"/>
              </w:rPr>
              <w:t>2.5</w:t>
            </w:r>
          </w:p>
        </w:tc>
        <w:tc>
          <w:tcPr>
            <w:tcW w:w="1578" w:type="dxa"/>
          </w:tcPr>
          <w:p w:rsidR="00C03587" w:rsidRDefault="00000000">
            <w:r>
              <w:rPr>
                <w:sz w:val="18"/>
              </w:rPr>
              <w:t>0.8</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B — Conical  (random)</w:t>
            </w:r>
          </w:p>
        </w:tc>
        <w:tc>
          <w:tcPr>
            <w:tcW w:w="1620" w:type="dxa"/>
          </w:tcPr>
          <w:p w:rsidR="00C03587" w:rsidRDefault="00000000">
            <w:r>
              <w:rPr>
                <w:b/>
                <w:sz w:val="18"/>
              </w:rPr>
              <w:t>0.739</w:t>
            </w:r>
          </w:p>
        </w:tc>
        <w:tc>
          <w:tcPr>
            <w:tcW w:w="1620" w:type="dxa"/>
          </w:tcPr>
          <w:p w:rsidR="00C03587" w:rsidRDefault="00000000">
            <w:r>
              <w:rPr>
                <w:sz w:val="18"/>
              </w:rPr>
              <w:t>2.3</w:t>
            </w:r>
          </w:p>
        </w:tc>
        <w:tc>
          <w:tcPr>
            <w:tcW w:w="1578" w:type="dxa"/>
          </w:tcPr>
          <w:p w:rsidR="00C03587" w:rsidRDefault="00000000">
            <w:r>
              <w:rPr>
                <w:sz w:val="18"/>
              </w:rPr>
              <w:t>0.6</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C — Annular  (random)</w:t>
            </w:r>
          </w:p>
        </w:tc>
        <w:tc>
          <w:tcPr>
            <w:tcW w:w="1620" w:type="dxa"/>
          </w:tcPr>
          <w:p w:rsidR="00C03587" w:rsidRDefault="00000000">
            <w:r>
              <w:rPr>
                <w:b/>
                <w:sz w:val="18"/>
              </w:rPr>
              <w:t>0.895</w:t>
            </w:r>
          </w:p>
        </w:tc>
        <w:tc>
          <w:tcPr>
            <w:tcW w:w="1620" w:type="dxa"/>
          </w:tcPr>
          <w:p w:rsidR="00C03587" w:rsidRDefault="00000000">
            <w:r>
              <w:rPr>
                <w:sz w:val="18"/>
              </w:rPr>
              <w:t>2.4</w:t>
            </w:r>
          </w:p>
        </w:tc>
        <w:tc>
          <w:tcPr>
            <w:tcW w:w="1578" w:type="dxa"/>
          </w:tcPr>
          <w:p w:rsidR="00C03587" w:rsidRDefault="00000000">
            <w:r>
              <w:rPr>
                <w:sz w:val="18"/>
              </w:rPr>
              <w:t>0.7</w:t>
            </w:r>
          </w:p>
        </w:tc>
        <w:tc>
          <w:tcPr>
            <w:tcW w:w="1765" w:type="dxa"/>
          </w:tcPr>
          <w:p w:rsidR="00C03587" w:rsidRDefault="00000000">
            <w:r>
              <w:rPr>
                <w:sz w:val="18"/>
              </w:rPr>
              <w:t>4</w:t>
            </w:r>
          </w:p>
        </w:tc>
      </w:tr>
      <w:tr w:rsidR="00C03587" w:rsidTr="00F600D5">
        <w:tc>
          <w:tcPr>
            <w:tcW w:w="2245" w:type="dxa"/>
          </w:tcPr>
          <w:p w:rsidR="00C03587" w:rsidRDefault="00000000">
            <w:r>
              <w:rPr>
                <w:sz w:val="18"/>
              </w:rPr>
              <w:t>T2 Type D — Two-zone (random)</w:t>
            </w:r>
          </w:p>
        </w:tc>
        <w:tc>
          <w:tcPr>
            <w:tcW w:w="1620" w:type="dxa"/>
          </w:tcPr>
          <w:p w:rsidR="00C03587" w:rsidRDefault="00000000">
            <w:r>
              <w:rPr>
                <w:b/>
                <w:sz w:val="18"/>
              </w:rPr>
              <w:t>0.754</w:t>
            </w:r>
          </w:p>
        </w:tc>
        <w:tc>
          <w:tcPr>
            <w:tcW w:w="1620" w:type="dxa"/>
          </w:tcPr>
          <w:p w:rsidR="00C03587" w:rsidRDefault="00000000">
            <w:r>
              <w:rPr>
                <w:sz w:val="18"/>
              </w:rPr>
              <w:t>2.8</w:t>
            </w:r>
          </w:p>
        </w:tc>
        <w:tc>
          <w:tcPr>
            <w:tcW w:w="1578" w:type="dxa"/>
          </w:tcPr>
          <w:p w:rsidR="00C03587" w:rsidRDefault="00000000">
            <w:r>
              <w:rPr>
                <w:sz w:val="18"/>
              </w:rPr>
              <w:t>1.0</w:t>
            </w:r>
          </w:p>
        </w:tc>
        <w:tc>
          <w:tcPr>
            <w:tcW w:w="1765" w:type="dxa"/>
          </w:tcPr>
          <w:p w:rsidR="00C03587" w:rsidRDefault="00000000">
            <w:r>
              <w:rPr>
                <w:sz w:val="18"/>
              </w:rPr>
              <w:t>6</w:t>
            </w:r>
          </w:p>
        </w:tc>
      </w:tr>
      <w:tr w:rsidR="00C03587" w:rsidTr="00F600D5">
        <w:tc>
          <w:tcPr>
            <w:tcW w:w="2245" w:type="dxa"/>
          </w:tcPr>
          <w:p w:rsidR="00C03587" w:rsidRDefault="00000000">
            <w:r>
              <w:rPr>
                <w:sz w:val="18"/>
              </w:rPr>
              <w:t>T2 Type A — Baffled  (GA best) ★</w:t>
            </w:r>
          </w:p>
        </w:tc>
        <w:tc>
          <w:tcPr>
            <w:tcW w:w="1620" w:type="dxa"/>
          </w:tcPr>
          <w:p w:rsidR="00C03587" w:rsidRDefault="00000000">
            <w:r>
              <w:rPr>
                <w:b/>
                <w:sz w:val="18"/>
              </w:rPr>
              <w:t>0.971</w:t>
            </w:r>
          </w:p>
        </w:tc>
        <w:tc>
          <w:tcPr>
            <w:tcW w:w="1620" w:type="dxa"/>
          </w:tcPr>
          <w:p w:rsidR="00C03587" w:rsidRDefault="00000000">
            <w:r>
              <w:rPr>
                <w:sz w:val="18"/>
              </w:rPr>
              <w:t>2.7</w:t>
            </w:r>
          </w:p>
        </w:tc>
        <w:tc>
          <w:tcPr>
            <w:tcW w:w="1578" w:type="dxa"/>
          </w:tcPr>
          <w:p w:rsidR="00C03587" w:rsidRDefault="00000000">
            <w:r>
              <w:rPr>
                <w:sz w:val="18"/>
              </w:rPr>
              <w:t>0.5</w:t>
            </w:r>
          </w:p>
        </w:tc>
        <w:tc>
          <w:tcPr>
            <w:tcW w:w="1765" w:type="dxa"/>
          </w:tcPr>
          <w:p w:rsidR="00C03587" w:rsidRDefault="00000000">
            <w:r>
              <w:rPr>
                <w:sz w:val="18"/>
              </w:rPr>
              <w:t>2</w:t>
            </w:r>
          </w:p>
        </w:tc>
      </w:tr>
    </w:tbl>
    <w:p w:rsidR="00C03587" w:rsidRDefault="00000000">
      <w:pPr>
        <w:spacing w:before="60" w:after="240"/>
        <w:jc w:val="center"/>
      </w:pPr>
      <w:r>
        <w:rPr>
          <w:rFonts w:ascii="Times New Roman" w:hAnsi="Times New Roman"/>
          <w:i/>
          <w:sz w:val="18"/>
        </w:rPr>
        <w:t>Table 1 — Best TMA Uniformity Index (TMA-UI) per geometry type. D = nozzle diameter, Q = volumetric flow rate, Re = Reynolds number. All Track 2 types substantially outperform the Track 1 baseline.</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GA topology search achieves TMA-UI = 0.971 — a +183% improvement over Track 1 (0.344) and +8.5% over random topology search (0.895). The GA discovers an optimally-positioned baffled plenum (Type A) that random sampling missed. Both topology search strategies discover designs that are topologically inaccessible to parametric Track 1 optimisation.</w:t>
            </w:r>
          </w:p>
        </w:tc>
      </w:tr>
    </w:tbl>
    <w:p w:rsidR="00C03587" w:rsidRDefault="00C03587">
      <w:pPr>
        <w:spacing w:after="120"/>
      </w:pPr>
    </w:p>
    <w:p w:rsidR="00C03587" w:rsidRDefault="00000000">
      <w:pPr>
        <w:spacing w:after="120"/>
        <w:jc w:val="both"/>
      </w:pPr>
      <w:r>
        <w:rPr>
          <w:rFonts w:ascii="Times New Roman" w:hAnsi="Times New Roman"/>
        </w:rPr>
        <w:t>Notably, the GA identifies a different best topology than random search: random search selects Type C (annular rings, TMA-UI = 0.895), while the GA evolves to Type A (baffled plenum, TMA-UI = 0.971) with a precisely optimised baffle position (baffle_frac = 0.42, placing the baffle near the lower third of the plenum). This result demonstrates that the GA's guided evolution across both topology type and continuous parameters simultaneously finds designs that pure random sampling over a fixed type cannot reach.</w:t>
      </w:r>
    </w:p>
    <w:p w:rsidR="00C03587" w:rsidRDefault="00000000">
      <w:pPr>
        <w:spacing w:before="240" w:after="80"/>
      </w:pPr>
      <w:r>
        <w:rPr>
          <w:rFonts w:ascii="Times New Roman" w:hAnsi="Times New Roman"/>
          <w:b/>
          <w:color w:val="005082"/>
          <w:sz w:val="24"/>
        </w:rPr>
        <w:t>7.2 Track 1 vs Track 2 Pareto Comparison</w:t>
      </w:r>
    </w:p>
    <w:p w:rsidR="00C03587" w:rsidRDefault="00000000">
      <w:pPr>
        <w:spacing w:after="120"/>
        <w:jc w:val="both"/>
      </w:pPr>
      <w:r>
        <w:rPr>
          <w:rFonts w:ascii="Times New Roman" w:hAnsi="Times New Roman"/>
        </w:rPr>
        <w:lastRenderedPageBreak/>
        <w:t>Figure 3 shows the complete Track 1 vs Track 2 design space comparison, including the KPI surrogate out-of-fold parity plot.</w:t>
      </w:r>
    </w:p>
    <w:p w:rsidR="00C03587" w:rsidRDefault="00000000">
      <w:pPr>
        <w:jc w:val="center"/>
      </w:pPr>
      <w:r>
        <w:rPr>
          <w:noProof/>
        </w:rPr>
        <w:drawing>
          <wp:inline distT="0" distB="0" distL="0" distR="0">
            <wp:extent cx="5303520" cy="1883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2_pareto.png"/>
                    <pic:cNvPicPr/>
                  </pic:nvPicPr>
                  <pic:blipFill>
                    <a:blip r:embed="rId8"/>
                    <a:stretch>
                      <a:fillRect/>
                    </a:stretch>
                  </pic:blipFill>
                  <pic:spPr>
                    <a:xfrm>
                      <a:off x="0" y="0"/>
                      <a:ext cx="5303520" cy="1883208"/>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3 — Left: Track 1 vs Track 2 full design space. Track 2 candidates dominate Track 1 across all Re values. Right: Combined KPI surrogate OOF parity (n=120, blue=Track 1, orange=Track 2). OOF R²=0.985, ρ=0.947.</w:t>
      </w:r>
    </w:p>
    <w:p w:rsidR="00C03587" w:rsidRDefault="00000000">
      <w:pPr>
        <w:spacing w:before="240" w:after="80"/>
      </w:pPr>
      <w:r>
        <w:rPr>
          <w:rFonts w:ascii="Times New Roman" w:hAnsi="Times New Roman"/>
          <w:b/>
          <w:color w:val="005082"/>
          <w:sz w:val="24"/>
        </w:rPr>
        <w:t>7.3 GNN Training and Field Accuracy</w:t>
      </w:r>
    </w:p>
    <w:p w:rsidR="00C03587" w:rsidRDefault="00000000">
      <w:pPr>
        <w:spacing w:after="120"/>
        <w:jc w:val="both"/>
      </w:pPr>
      <w:r>
        <w:rPr>
          <w:rFonts w:ascii="Times New Roman" w:hAnsi="Times New Roman"/>
        </w:rPr>
        <w:t>Figure 4 shows GNN training and validation loss curves.</w:t>
      </w:r>
    </w:p>
    <w:p w:rsidR="00C03587" w:rsidRDefault="00000000">
      <w:pPr>
        <w:jc w:val="center"/>
      </w:pPr>
      <w:r>
        <w:rPr>
          <w:noProof/>
        </w:rPr>
        <w:drawing>
          <wp:inline distT="0" distB="0" distL="0" distR="0">
            <wp:extent cx="4572000" cy="152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9"/>
                    <a:stretch>
                      <a:fillRect/>
                    </a:stretch>
                  </pic:blipFill>
                  <pic:spPr>
                    <a:xfrm>
                      <a:off x="0" y="0"/>
                      <a:ext cx="4572000" cy="1524000"/>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4 — GNN training and validation loss curves (200 epochs, Colab A100 GPU). Left: total loss. Right: per-head breakdown (flow / heat / species). Species loss decreases more slowly due to the near-uniform TMA field in the current mesh resolution.</w:t>
      </w:r>
    </w:p>
    <w:p w:rsidR="00C03587" w:rsidRDefault="00000000">
      <w:pPr>
        <w:spacing w:after="120"/>
        <w:jc w:val="both"/>
      </w:pPr>
      <w:r>
        <w:rPr>
          <w:rFonts w:ascii="Times New Roman" w:hAnsi="Times New Roman"/>
        </w:rPr>
        <w:t>The GNN surrogate achieves: pressure Mean Absolute Error (</w:t>
      </w:r>
      <w:r>
        <w:rPr>
          <w:rFonts w:ascii="Times New Roman" w:hAnsi="Times New Roman"/>
          <w:b/>
        </w:rPr>
        <w:t>MAE</w:t>
      </w:r>
      <w:r>
        <w:rPr>
          <w:rFonts w:ascii="Times New Roman" w:hAnsi="Times New Roman"/>
        </w:rPr>
        <w:t>) &lt; 0.96% (relative), temperature MAE &lt; 0.29% (relative). Velocity field prediction is weaker (relative MAE ~120%) due to complex 3D flow patterns relative to the 123-case dataset size. TMA spatial prediction is mesh-limited (sub-millimetre boundary layer unresolved at ~1 mm cell size); the multi-fidelity KPI surrogate compensates for this at the design-ranking level.</w:t>
      </w:r>
    </w:p>
    <w:p w:rsidR="00C03587" w:rsidRDefault="00000000">
      <w:pPr>
        <w:spacing w:before="240" w:after="80"/>
      </w:pPr>
      <w:r>
        <w:rPr>
          <w:rFonts w:ascii="Times New Roman" w:hAnsi="Times New Roman"/>
          <w:b/>
          <w:color w:val="005082"/>
          <w:sz w:val="24"/>
        </w:rPr>
        <w:t>7.4 Ablation Study — KPI Surrogate Components</w:t>
      </w:r>
    </w:p>
    <w:p w:rsidR="00B41D41" w:rsidRDefault="00000000">
      <w:pPr>
        <w:spacing w:after="120"/>
        <w:jc w:val="both"/>
        <w:rPr>
          <w:rFonts w:ascii="Times New Roman" w:hAnsi="Times New Roman"/>
        </w:rPr>
      </w:pPr>
      <w:r>
        <w:rPr>
          <w:rFonts w:ascii="Times New Roman" w:hAnsi="Times New Roman"/>
        </w:rPr>
        <w:t>Table 2 quantifies the contribution of each component of the KPI surrogate. Each row adds one component to the previous configuration.</w:t>
      </w: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Pr="00B41D41" w:rsidRDefault="00B41D41">
      <w:pPr>
        <w:spacing w:after="120"/>
        <w:jc w:val="both"/>
        <w:rPr>
          <w:rFonts w:ascii="Times New Roman" w:hAnsi="Times New Roman"/>
        </w:rPr>
      </w:pPr>
    </w:p>
    <w:tbl>
      <w:tblPr>
        <w:tblStyle w:val="TableGrid"/>
        <w:tblW w:w="0" w:type="auto"/>
        <w:tblLook w:val="04A0" w:firstRow="1" w:lastRow="0" w:firstColumn="1" w:lastColumn="0" w:noHBand="0" w:noVBand="1"/>
      </w:tblPr>
      <w:tblGrid>
        <w:gridCol w:w="2985"/>
        <w:gridCol w:w="1709"/>
        <w:gridCol w:w="2068"/>
        <w:gridCol w:w="2066"/>
      </w:tblGrid>
      <w:tr w:rsidR="00C03587" w:rsidTr="00B41D41">
        <w:tc>
          <w:tcPr>
            <w:tcW w:w="2988" w:type="dxa"/>
          </w:tcPr>
          <w:p w:rsidR="00C03587" w:rsidRDefault="00000000">
            <w:r>
              <w:rPr>
                <w:b/>
                <w:sz w:val="18"/>
              </w:rPr>
              <w:t>Configuration</w:t>
            </w:r>
          </w:p>
        </w:tc>
        <w:tc>
          <w:tcPr>
            <w:tcW w:w="1710" w:type="dxa"/>
          </w:tcPr>
          <w:p w:rsidR="00C03587" w:rsidRDefault="00000000">
            <w:r>
              <w:rPr>
                <w:b/>
                <w:sz w:val="18"/>
              </w:rPr>
              <w:t>Change added</w:t>
            </w:r>
          </w:p>
        </w:tc>
        <w:tc>
          <w:tcPr>
            <w:tcW w:w="2070" w:type="dxa"/>
          </w:tcPr>
          <w:p w:rsidR="00C03587" w:rsidRDefault="00000000">
            <w:r>
              <w:rPr>
                <w:b/>
                <w:sz w:val="18"/>
              </w:rPr>
              <w:t>OOF R²</w:t>
            </w:r>
          </w:p>
        </w:tc>
        <w:tc>
          <w:tcPr>
            <w:tcW w:w="2068" w:type="dxa"/>
          </w:tcPr>
          <w:p w:rsidR="00C03587" w:rsidRDefault="00000000">
            <w:r>
              <w:rPr>
                <w:b/>
                <w:sz w:val="18"/>
              </w:rPr>
              <w:t>OOF ρ</w:t>
            </w:r>
          </w:p>
        </w:tc>
      </w:tr>
      <w:tr w:rsidR="00C03587" w:rsidTr="00B41D41">
        <w:tc>
          <w:tcPr>
            <w:tcW w:w="2988" w:type="dxa"/>
          </w:tcPr>
          <w:p w:rsidR="00C03587" w:rsidRDefault="00000000">
            <w:r>
              <w:rPr>
                <w:sz w:val="18"/>
              </w:rPr>
              <w:t>Single 70/13 split, 18 features only</w:t>
            </w:r>
          </w:p>
        </w:tc>
        <w:tc>
          <w:tcPr>
            <w:tcW w:w="1710" w:type="dxa"/>
          </w:tcPr>
          <w:p w:rsidR="00C03587" w:rsidRDefault="00000000">
            <w:r>
              <w:rPr>
                <w:sz w:val="18"/>
              </w:rPr>
              <w:t>Baseline</w:t>
            </w:r>
          </w:p>
        </w:tc>
        <w:tc>
          <w:tcPr>
            <w:tcW w:w="2070" w:type="dxa"/>
          </w:tcPr>
          <w:p w:rsidR="00C03587" w:rsidRDefault="00000000">
            <w:r>
              <w:rPr>
                <w:sz w:val="18"/>
              </w:rPr>
              <w:t>−0.56</w:t>
            </w:r>
          </w:p>
        </w:tc>
        <w:tc>
          <w:tcPr>
            <w:tcW w:w="2068" w:type="dxa"/>
          </w:tcPr>
          <w:p w:rsidR="00C03587" w:rsidRDefault="00000000">
            <w:r>
              <w:rPr>
                <w:sz w:val="18"/>
              </w:rPr>
              <w:t>0.66</w:t>
            </w:r>
          </w:p>
        </w:tc>
      </w:tr>
      <w:tr w:rsidR="00C03587" w:rsidTr="00B41D41">
        <w:tc>
          <w:tcPr>
            <w:tcW w:w="2988" w:type="dxa"/>
          </w:tcPr>
          <w:p w:rsidR="00C03587" w:rsidRDefault="00000000">
            <w:r>
              <w:rPr>
                <w:sz w:val="18"/>
              </w:rPr>
              <w:t>5-fold CV, 18 features only</w:t>
            </w:r>
          </w:p>
        </w:tc>
        <w:tc>
          <w:tcPr>
            <w:tcW w:w="1710" w:type="dxa"/>
          </w:tcPr>
          <w:p w:rsidR="00C03587" w:rsidRDefault="00000000">
            <w:r>
              <w:rPr>
                <w:sz w:val="18"/>
              </w:rPr>
              <w:t>+ K-fold</w:t>
            </w:r>
          </w:p>
        </w:tc>
        <w:tc>
          <w:tcPr>
            <w:tcW w:w="2070" w:type="dxa"/>
          </w:tcPr>
          <w:p w:rsidR="00C03587" w:rsidRDefault="00000000">
            <w:r>
              <w:rPr>
                <w:sz w:val="18"/>
              </w:rPr>
              <w:t>0.43</w:t>
            </w:r>
          </w:p>
        </w:tc>
        <w:tc>
          <w:tcPr>
            <w:tcW w:w="2068" w:type="dxa"/>
          </w:tcPr>
          <w:p w:rsidR="00C03587" w:rsidRDefault="00000000">
            <w:r>
              <w:rPr>
                <w:sz w:val="18"/>
              </w:rPr>
              <w:t>0.73</w:t>
            </w:r>
          </w:p>
        </w:tc>
      </w:tr>
      <w:tr w:rsidR="00C03587" w:rsidTr="00B41D41">
        <w:tc>
          <w:tcPr>
            <w:tcW w:w="2988" w:type="dxa"/>
          </w:tcPr>
          <w:p w:rsidR="00C03587" w:rsidRDefault="00000000">
            <w:r>
              <w:rPr>
                <w:sz w:val="18"/>
              </w:rPr>
              <w:t>5-fold CV, 27 features (+ wafer-plane stats)</w:t>
            </w:r>
          </w:p>
        </w:tc>
        <w:tc>
          <w:tcPr>
            <w:tcW w:w="1710" w:type="dxa"/>
          </w:tcPr>
          <w:p w:rsidR="00C03587" w:rsidRDefault="00000000">
            <w:r>
              <w:rPr>
                <w:sz w:val="18"/>
              </w:rPr>
              <w:t>+ Multi-fidelity features</w:t>
            </w:r>
          </w:p>
        </w:tc>
        <w:tc>
          <w:tcPr>
            <w:tcW w:w="2070" w:type="dxa"/>
          </w:tcPr>
          <w:p w:rsidR="00C03587" w:rsidRDefault="00000000">
            <w:r>
              <w:rPr>
                <w:sz w:val="18"/>
              </w:rPr>
              <w:t>0.81</w:t>
            </w:r>
          </w:p>
        </w:tc>
        <w:tc>
          <w:tcPr>
            <w:tcW w:w="2068" w:type="dxa"/>
          </w:tcPr>
          <w:p w:rsidR="00C03587" w:rsidRDefault="00000000">
            <w:r>
              <w:rPr>
                <w:sz w:val="18"/>
              </w:rPr>
              <w:t>0.88</w:t>
            </w:r>
          </w:p>
        </w:tc>
      </w:tr>
      <w:tr w:rsidR="00C03587" w:rsidTr="00B41D41">
        <w:tc>
          <w:tcPr>
            <w:tcW w:w="2988" w:type="dxa"/>
          </w:tcPr>
          <w:p w:rsidR="00C03587" w:rsidRDefault="00000000">
            <w:r>
              <w:rPr>
                <w:sz w:val="18"/>
              </w:rPr>
              <w:t>5-fold CV ensemble, 27 features</w:t>
            </w:r>
          </w:p>
        </w:tc>
        <w:tc>
          <w:tcPr>
            <w:tcW w:w="1710" w:type="dxa"/>
          </w:tcPr>
          <w:p w:rsidR="00C03587" w:rsidRDefault="00000000">
            <w:r>
              <w:rPr>
                <w:sz w:val="18"/>
              </w:rPr>
              <w:t>+ Ensemble (5 models avg)</w:t>
            </w:r>
          </w:p>
        </w:tc>
        <w:tc>
          <w:tcPr>
            <w:tcW w:w="2070" w:type="dxa"/>
          </w:tcPr>
          <w:p w:rsidR="00C03587" w:rsidRDefault="00000000">
            <w:r>
              <w:rPr>
                <w:b/>
                <w:sz w:val="18"/>
              </w:rPr>
              <w:t>0.985</w:t>
            </w:r>
          </w:p>
        </w:tc>
        <w:tc>
          <w:tcPr>
            <w:tcW w:w="2068" w:type="dxa"/>
          </w:tcPr>
          <w:p w:rsidR="00C03587" w:rsidRDefault="00000000">
            <w:r>
              <w:rPr>
                <w:b/>
                <w:sz w:val="18"/>
              </w:rPr>
              <w:t>0.947</w:t>
            </w:r>
          </w:p>
        </w:tc>
      </w:tr>
    </w:tbl>
    <w:p w:rsidR="00C03587" w:rsidRDefault="00000000">
      <w:pPr>
        <w:spacing w:before="60" w:after="240"/>
        <w:jc w:val="center"/>
      </w:pPr>
      <w:r>
        <w:rPr>
          <w:rFonts w:ascii="Times New Roman" w:hAnsi="Times New Roman"/>
          <w:i/>
          <w:sz w:val="18"/>
        </w:rPr>
        <w:t>Table 2 — Ablation study: contribution of each KPI surrogate component. OOF = out-of-fold (each case predicted by a model never trained on it). The final ensemble with 27 features achieves OOF R² = 0.985, ρ = 0.947. Bold row = recommended configuration used in the optimizer.</w:t>
      </w:r>
    </w:p>
    <w:p w:rsidR="00B41D41" w:rsidRDefault="00000000">
      <w:pPr>
        <w:spacing w:after="120"/>
        <w:jc w:val="both"/>
        <w:rPr>
          <w:rFonts w:ascii="Times New Roman" w:hAnsi="Times New Roman"/>
        </w:rPr>
      </w:pPr>
      <w:r w:rsidRPr="00B41D41">
        <w:rPr>
          <w:rFonts w:ascii="Times New Roman" w:hAnsi="Times New Roman"/>
          <w:b/>
          <w:bCs/>
        </w:rPr>
        <w:t>Key observations:</w:t>
      </w:r>
      <w:r>
        <w:rPr>
          <w:rFonts w:ascii="Times New Roman" w:hAnsi="Times New Roman"/>
        </w:rPr>
        <w:t xml:space="preserve"> </w:t>
      </w:r>
    </w:p>
    <w:p w:rsidR="00B41D41" w:rsidRDefault="00000000">
      <w:pPr>
        <w:spacing w:after="120"/>
        <w:jc w:val="both"/>
        <w:rPr>
          <w:rFonts w:ascii="Times New Roman" w:hAnsi="Times New Roman"/>
        </w:rPr>
      </w:pPr>
      <w:r>
        <w:rPr>
          <w:rFonts w:ascii="Times New Roman" w:hAnsi="Times New Roman"/>
        </w:rPr>
        <w:t xml:space="preserve">(1) 5-fold cross-validation is essential — a single 70/13 split gives OOF R² = −0.56 due to the small dataset size, whereas K-fold corrects this to 0.43; </w:t>
      </w:r>
    </w:p>
    <w:p w:rsidR="00B41D41" w:rsidRDefault="00000000">
      <w:pPr>
        <w:spacing w:after="120"/>
        <w:jc w:val="both"/>
        <w:rPr>
          <w:rFonts w:ascii="Times New Roman" w:hAnsi="Times New Roman"/>
        </w:rPr>
      </w:pPr>
      <w:r>
        <w:rPr>
          <w:rFonts w:ascii="Times New Roman" w:hAnsi="Times New Roman"/>
        </w:rPr>
        <w:t xml:space="preserve">(2) adding the 9 wafer-plane CFD statistics doubles R² from 0.43 to 0.81 and raises Spearman ρ from 0.73 to 0.88, confirming that vertical velocity uniformity at the nozzle exit is a strong proxy for TMA-UI; </w:t>
      </w:r>
    </w:p>
    <w:p w:rsidR="00C03587" w:rsidRDefault="00000000">
      <w:pPr>
        <w:spacing w:after="120"/>
        <w:jc w:val="both"/>
      </w:pPr>
      <w:r>
        <w:rPr>
          <w:rFonts w:ascii="Times New Roman" w:hAnsi="Times New Roman"/>
        </w:rPr>
        <w:t>(3) ensemble averaging adds a further improvement to R² = 0.985.</w:t>
      </w:r>
    </w:p>
    <w:p w:rsidR="00C03587" w:rsidRDefault="00000000">
      <w:pPr>
        <w:spacing w:before="240" w:after="80"/>
      </w:pPr>
      <w:r>
        <w:rPr>
          <w:rFonts w:ascii="Times New Roman" w:hAnsi="Times New Roman"/>
          <w:b/>
          <w:color w:val="005082"/>
          <w:sz w:val="24"/>
        </w:rPr>
        <w:t>7.5 Guardrail Validation</w:t>
      </w:r>
    </w:p>
    <w:p w:rsidR="00C03587" w:rsidRDefault="00000000">
      <w:pPr>
        <w:spacing w:after="120"/>
        <w:jc w:val="both"/>
      </w:pPr>
      <w:r>
        <w:rPr>
          <w:rFonts w:ascii="Times New Roman" w:hAnsi="Times New Roman"/>
        </w:rPr>
        <w:t>All 1,200 Track 2 optimizer candidates were screened against the eleven guardrails before KPI evaluation. The Damkohler guardrail (Da in [0.001, 100]) correctly rejected high-flow-rate candidates at small diameters where precursor depletion would cause non-uniform deposition. The Euler guardrail (Eu_max = 10^8) filtered geometries with effectively closed nozzles. The interactive dashboard allows engineers to adjust guardrail bounds and observe real-time changes in the accepted design space.</w:t>
      </w:r>
    </w:p>
    <w:p w:rsidR="00C03587" w:rsidRDefault="00000000">
      <w:pPr>
        <w:spacing w:before="240" w:after="80"/>
      </w:pPr>
      <w:r>
        <w:rPr>
          <w:rFonts w:ascii="Times New Roman" w:hAnsi="Times New Roman"/>
          <w:b/>
          <w:color w:val="003366"/>
          <w:sz w:val="28"/>
        </w:rPr>
        <w:t>8. Industry Use Cases</w:t>
      </w:r>
    </w:p>
    <w:p w:rsidR="00C03587" w:rsidRDefault="00000000">
      <w:pPr>
        <w:pStyle w:val="ListBullet"/>
        <w:spacing w:after="60"/>
        <w:jc w:val="both"/>
      </w:pPr>
      <w:r>
        <w:rPr>
          <w:rFonts w:ascii="Times New Roman" w:hAnsi="Times New Roman"/>
          <w:b/>
        </w:rPr>
        <w:t xml:space="preserve">Advanced logic (3 nm and below): </w:t>
      </w:r>
      <w:r>
        <w:rPr>
          <w:rFonts w:ascii="Times New Roman" w:hAnsi="Times New Roman"/>
        </w:rPr>
        <w:t>at sub-5 nm nodes, film thickness must be controlled to ±0.1 nm across 300 mm wafers. The framework optimises showerhead geometry to minimise TMA-UI non-uniformity, directly targeting this specification.</w:t>
      </w:r>
    </w:p>
    <w:p w:rsidR="00C03587" w:rsidRDefault="00000000">
      <w:pPr>
        <w:pStyle w:val="ListBullet"/>
        <w:spacing w:after="60"/>
        <w:jc w:val="both"/>
      </w:pPr>
      <w:r>
        <w:rPr>
          <w:rFonts w:ascii="Times New Roman" w:hAnsi="Times New Roman"/>
          <w:b/>
        </w:rPr>
        <w:t xml:space="preserve">High-Bandwidth Memory (HBM) stacking: </w:t>
      </w:r>
      <w:r>
        <w:rPr>
          <w:rFonts w:ascii="Times New Roman" w:hAnsi="Times New Roman"/>
        </w:rPr>
        <w:t>through-silicon vias (TSVs) in 3D-stacked memory require conformal ALD barrier films in high-aspect-ratio features. High TMA-UI with Da &lt;&lt; 1 ensures conformal coverage.</w:t>
      </w:r>
    </w:p>
    <w:p w:rsidR="00C03587" w:rsidRDefault="00000000">
      <w:pPr>
        <w:pStyle w:val="ListBullet"/>
        <w:spacing w:after="60"/>
        <w:jc w:val="both"/>
      </w:pPr>
      <w:r>
        <w:rPr>
          <w:rFonts w:ascii="Times New Roman" w:hAnsi="Times New Roman"/>
          <w:b/>
        </w:rPr>
        <w:t xml:space="preserve">Solid-state battery electrolytes: </w:t>
      </w:r>
      <w:r>
        <w:rPr>
          <w:rFonts w:ascii="Times New Roman" w:hAnsi="Times New Roman"/>
        </w:rPr>
        <w:t>ALD-deposited lithium ion conducting films for solid-state batteries require large-area uniformity. Track 2 baffled and two-zone designs address this challenge.</w:t>
      </w:r>
    </w:p>
    <w:p w:rsidR="00C03587" w:rsidRDefault="00000000">
      <w:pPr>
        <w:pStyle w:val="ListBullet"/>
        <w:spacing w:after="60"/>
        <w:jc w:val="both"/>
      </w:pPr>
      <w:r>
        <w:rPr>
          <w:rFonts w:ascii="Times New Roman" w:hAnsi="Times New Roman"/>
          <w:b/>
        </w:rPr>
        <w:t xml:space="preserve">Catalyst synthesis: </w:t>
      </w:r>
      <w:r>
        <w:rPr>
          <w:rFonts w:ascii="Times New Roman" w:hAnsi="Times New Roman"/>
        </w:rPr>
        <w:t>ALD deposits precisely controlled catalyst films on porous supports. Optimal precursor distribution directly controls catalyst loading uniformity.</w:t>
      </w:r>
    </w:p>
    <w:p w:rsidR="00C03587" w:rsidRPr="00B76CA8" w:rsidRDefault="00000000">
      <w:pPr>
        <w:pStyle w:val="ListBullet"/>
        <w:spacing w:after="60"/>
        <w:jc w:val="both"/>
      </w:pPr>
      <w:r>
        <w:rPr>
          <w:rFonts w:ascii="Times New Roman" w:hAnsi="Times New Roman"/>
          <w:b/>
        </w:rPr>
        <w:t xml:space="preserve">Flexible electronics: </w:t>
      </w:r>
      <w:r>
        <w:rPr>
          <w:rFonts w:ascii="Times New Roman" w:hAnsi="Times New Roman"/>
        </w:rPr>
        <w:t>roll-to-roll ALD for flexible devices requires uniform deposition across moving substrates. The framework is adaptable to linear showerhead geometries.</w:t>
      </w:r>
    </w:p>
    <w:p w:rsidR="00B76CA8" w:rsidRDefault="00B76CA8" w:rsidP="00B76CA8">
      <w:pPr>
        <w:pStyle w:val="ListBullet"/>
        <w:numPr>
          <w:ilvl w:val="0"/>
          <w:numId w:val="0"/>
        </w:numPr>
        <w:spacing w:after="60"/>
        <w:ind w:left="360"/>
        <w:jc w:val="both"/>
      </w:pPr>
    </w:p>
    <w:p w:rsidR="00C03587" w:rsidRDefault="00000000">
      <w:pPr>
        <w:spacing w:before="240" w:after="80"/>
      </w:pPr>
      <w:r>
        <w:rPr>
          <w:rFonts w:ascii="Times New Roman" w:hAnsi="Times New Roman"/>
          <w:b/>
          <w:color w:val="003366"/>
          <w:sz w:val="28"/>
        </w:rPr>
        <w:lastRenderedPageBreak/>
        <w:t>9. Limitations and Future Work</w:t>
      </w:r>
    </w:p>
    <w:p w:rsidR="00C03587" w:rsidRDefault="00000000">
      <w:pPr>
        <w:pStyle w:val="ListBullet"/>
        <w:spacing w:after="60"/>
        <w:jc w:val="both"/>
      </w:pPr>
      <w:r>
        <w:rPr>
          <w:rFonts w:ascii="Times New Roman" w:hAnsi="Times New Roman"/>
          <w:b/>
        </w:rPr>
        <w:t xml:space="preserve">Wafer-plane mesh refinement: </w:t>
      </w:r>
      <w:r>
        <w:rPr>
          <w:rFonts w:ascii="Times New Roman" w:hAnsi="Times New Roman"/>
        </w:rPr>
        <w:t>TMA spatial field prediction requires ~0.1 mm cell size at the wafer surface (current: ~1 mm). Refinement via snappyHexMesh refinementRegions would enable full-field species head training at ~5× simulation cost.</w:t>
      </w:r>
    </w:p>
    <w:p w:rsidR="00C03587" w:rsidRDefault="00000000">
      <w:pPr>
        <w:pStyle w:val="ListBullet"/>
        <w:spacing w:after="60"/>
        <w:jc w:val="both"/>
      </w:pPr>
      <w:r>
        <w:rPr>
          <w:rFonts w:ascii="Times New Roman" w:hAnsi="Times New Roman"/>
          <w:b/>
        </w:rPr>
        <w:t xml:space="preserve">Dataset scale: </w:t>
      </w:r>
      <w:r>
        <w:rPr>
          <w:rFonts w:ascii="Times New Roman" w:hAnsi="Times New Roman"/>
        </w:rPr>
        <w:t>123 cases is sufficient for a framework demonstration; production deployment would benefit from 500+ cases per track. The OpenFOAM pipeline is fully automated and scales linearly.</w:t>
      </w:r>
    </w:p>
    <w:p w:rsidR="00C03587" w:rsidRDefault="00000000">
      <w:pPr>
        <w:pStyle w:val="ListBullet"/>
        <w:spacing w:after="60"/>
        <w:jc w:val="both"/>
      </w:pPr>
      <w:r>
        <w:rPr>
          <w:rFonts w:ascii="Times New Roman" w:hAnsi="Times New Roman"/>
          <w:b/>
        </w:rPr>
        <w:t xml:space="preserve">Extended topology search via larger populations: </w:t>
      </w:r>
      <w:r>
        <w:rPr>
          <w:rFonts w:ascii="Times New Roman" w:hAnsi="Times New Roman"/>
        </w:rPr>
        <w:t>the GA converges in 50 generations (2,000 evaluations). Larger population sizes and more generations would continue to improve results at the cost of additional (still cheap, surrogate-based) evaluations.</w:t>
      </w:r>
    </w:p>
    <w:p w:rsidR="00C03587" w:rsidRDefault="00000000">
      <w:pPr>
        <w:pStyle w:val="ListBullet"/>
        <w:spacing w:after="60"/>
        <w:jc w:val="both"/>
      </w:pPr>
      <w:r>
        <w:rPr>
          <w:rFonts w:ascii="Times New Roman" w:hAnsi="Times New Roman"/>
          <w:b/>
        </w:rPr>
        <w:t xml:space="preserve">Voxel parallelisation: </w:t>
      </w:r>
      <w:r>
        <w:rPr>
          <w:rFonts w:ascii="Times New Roman" w:hAnsi="Times New Roman"/>
        </w:rPr>
        <w:t>the current Python/NumPy SDF implementation evaluates the 64^3 voxel grid in a single thread, taking ~30 s per geometry on CPU. Parallelising across CPU cores or porting to GPU would reduce build time to under 5 s, enabling real-time interactive topology exploration in the Streamlit dashboard.</w:t>
      </w:r>
    </w:p>
    <w:p w:rsidR="00C03587" w:rsidRDefault="00000000">
      <w:pPr>
        <w:spacing w:before="240" w:after="80"/>
      </w:pPr>
      <w:r>
        <w:rPr>
          <w:rFonts w:ascii="Times New Roman" w:hAnsi="Times New Roman"/>
          <w:b/>
          <w:color w:val="003366"/>
          <w:sz w:val="28"/>
        </w:rPr>
        <w:t>10. Conclusion</w:t>
      </w:r>
    </w:p>
    <w:p w:rsidR="00C03587" w:rsidRDefault="00000000">
      <w:pPr>
        <w:spacing w:after="120"/>
        <w:jc w:val="both"/>
      </w:pPr>
      <w:r>
        <w:rPr>
          <w:rFonts w:ascii="Times New Roman" w:hAnsi="Times New Roman"/>
        </w:rPr>
        <w:t xml:space="preserve">This paper makes a claim that is easy to misread and worth stating precisely: the +130% TMA uniformity improvement in Track 2 does not come from a better surrogate model, better training data, or better physics prediction. It comes from the fact that the best-performing showerhead geometry — an annular-ring nozzle pattern — physically cannot be constructed within the hex-array parametric design space, at any combination of parameter values. </w:t>
      </w:r>
      <w:r w:rsidRPr="00B76CA8">
        <w:rPr>
          <w:rFonts w:ascii="Times New Roman" w:hAnsi="Times New Roman"/>
          <w:b/>
          <w:bCs/>
        </w:rPr>
        <w:t>The geometry is the contribution.</w:t>
      </w:r>
      <w:r>
        <w:rPr>
          <w:rFonts w:ascii="Times New Roman" w:hAnsi="Times New Roman"/>
        </w:rPr>
        <w:t xml:space="preserve"> </w:t>
      </w:r>
      <w:r w:rsidRPr="00B76CA8">
        <w:rPr>
          <w:rFonts w:ascii="Times New Roman" w:hAnsi="Times New Roman"/>
          <w:b/>
          <w:bCs/>
        </w:rPr>
        <w:t>The surrogate simply evaluates it quickly.</w:t>
      </w:r>
    </w:p>
    <w:p w:rsidR="00C03587" w:rsidRDefault="00000000">
      <w:pPr>
        <w:spacing w:after="120"/>
        <w:jc w:val="both"/>
      </w:pPr>
      <w:r w:rsidRPr="00B76CA8">
        <w:rPr>
          <w:rFonts w:ascii="Times New Roman" w:hAnsi="Times New Roman"/>
          <w:b/>
          <w:bCs/>
        </w:rPr>
        <w:t xml:space="preserve">This distinguishes the work from the large body of Physics-Informed Neural Network (PINN) and neural PDE solver research, which asks: "Can we predict CFD results faster or more accurately for a given geometry?" We ask a different question: "Can we reach geometries that no parametric tool can even represent?" </w:t>
      </w:r>
      <w:r>
        <w:rPr>
          <w:rFonts w:ascii="Times New Roman" w:hAnsi="Times New Roman"/>
        </w:rPr>
        <w:t>The Catalan number characterisation answers this formally — for n primitive shapes, C(n-1) distinct CSG tree topologies exist (C(5) = 42 for 6 primitives), and every parametric design tool is structurally locked to exactly one of them. The topology gap — not surrogate accuracy — is the binding constraint in ALD showerhead design optimisation.</w:t>
      </w:r>
    </w:p>
    <w:p w:rsidR="003C3E48" w:rsidRPr="00F600D5" w:rsidRDefault="00000000">
      <w:pPr>
        <w:spacing w:after="120"/>
        <w:jc w:val="both"/>
        <w:rPr>
          <w:rFonts w:ascii="Times New Roman" w:hAnsi="Times New Roman"/>
        </w:rPr>
      </w:pPr>
      <w:r>
        <w:rPr>
          <w:rFonts w:ascii="Times New Roman" w:hAnsi="Times New Roman"/>
        </w:rPr>
        <w:t xml:space="preserve">The framework presented here — PCGM for parametric exploration and VICES for topological synthesis — shares a common physics calculator, GNN surrogate, two-tier guardrail engine, and GA-guided optimizer across both tracks. The guardrail engine distinguishes between design constraints (six numbers computed before inference: Re, Ma, Eu, Da, Sc, Pe_m) and physical consistency validators (five numbers checked after inference: Pr, Pe_h, Nu, Bi, Sh), ensuring all recommendations are physically valid. </w:t>
      </w:r>
      <w:r w:rsidR="003C3E48" w:rsidRPr="003C3E48">
        <w:rPr>
          <w:rFonts w:ascii="Times New Roman" w:hAnsi="Times New Roman"/>
        </w:rPr>
        <w:t>Code and simulation data are available from the corresponding author upon reasonable request.</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Topology matters more than accuracy. The bottleneck in ALD showerhead design is not how fast we can predict a geometry's performance — it is whether we can synthesise geometries outside the parametric design space. This work is the first to formally quantify that gap using Catalan numbers and demonstrate a principled path to close it through CSG topology search.</w:t>
            </w:r>
          </w:p>
        </w:tc>
      </w:tr>
    </w:tbl>
    <w:p w:rsidR="00C03587" w:rsidRDefault="00C03587">
      <w:pPr>
        <w:spacing w:after="120"/>
      </w:pPr>
    </w:p>
    <w:p w:rsidR="00C03587" w:rsidRDefault="00000000">
      <w:pPr>
        <w:spacing w:before="240" w:after="80"/>
      </w:pPr>
      <w:r>
        <w:rPr>
          <w:rFonts w:ascii="Times New Roman" w:hAnsi="Times New Roman"/>
          <w:b/>
          <w:color w:val="003366"/>
          <w:sz w:val="28"/>
        </w:rPr>
        <w:lastRenderedPageBreak/>
        <w:t>Acknowledgements</w:t>
      </w:r>
    </w:p>
    <w:p w:rsidR="00C03587" w:rsidRDefault="00000000">
      <w:pPr>
        <w:spacing w:after="120"/>
        <w:jc w:val="both"/>
        <w:rPr>
          <w:rFonts w:ascii="Times New Roman" w:hAnsi="Times New Roman"/>
        </w:rPr>
      </w:pPr>
      <w:r>
        <w:rPr>
          <w:rFonts w:ascii="Times New Roman" w:hAnsi="Times New Roman"/>
        </w:rPr>
        <w:t>The author thanks the OpenFOAM community for maintaining the reactingFoam solver and Docker images used in this work. Computational resources were provided via Google Colab. No external funding was received.</w:t>
      </w:r>
    </w:p>
    <w:p w:rsidR="00836FAA" w:rsidRDefault="00836FAA">
      <w:pPr>
        <w:spacing w:after="120"/>
        <w:jc w:val="both"/>
        <w:rPr>
          <w:rFonts w:ascii="Times New Roman" w:hAnsi="Times New Roman"/>
        </w:rPr>
      </w:pPr>
    </w:p>
    <w:p w:rsidR="00836FAA" w:rsidRDefault="00836FAA" w:rsidP="00836FAA">
      <w:pPr>
        <w:spacing w:before="240" w:after="80"/>
      </w:pPr>
      <w:r w:rsidRPr="00836FAA">
        <w:rPr>
          <w:rFonts w:ascii="Times New Roman" w:hAnsi="Times New Roman"/>
          <w:b/>
          <w:color w:val="003366"/>
          <w:sz w:val="28"/>
        </w:rPr>
        <w:t>Declarations</w:t>
      </w:r>
    </w:p>
    <w:p w:rsidR="00836FAA" w:rsidRDefault="00836FAA" w:rsidP="00836FAA">
      <w:pPr>
        <w:spacing w:after="120"/>
        <w:jc w:val="both"/>
      </w:pPr>
      <w:r w:rsidRPr="00836FAA">
        <w:rPr>
          <w:b/>
          <w:bCs/>
        </w:rPr>
        <w:t>Funding:</w:t>
      </w:r>
      <w:r>
        <w:t xml:space="preserve"> This research received no specific grant from any funding agency in the public, commercial, or not-for-profit sectors.</w:t>
      </w:r>
    </w:p>
    <w:p w:rsidR="00836FAA" w:rsidRDefault="00836FAA" w:rsidP="00836FAA">
      <w:pPr>
        <w:spacing w:after="120"/>
        <w:jc w:val="both"/>
      </w:pPr>
      <w:r w:rsidRPr="00836FAA">
        <w:rPr>
          <w:b/>
          <w:bCs/>
        </w:rPr>
        <w:t>Competing interests:</w:t>
      </w:r>
      <w:r>
        <w:t xml:space="preserve"> The author declares no competing financial or non-financial interests.</w:t>
      </w:r>
    </w:p>
    <w:p w:rsidR="00836FAA" w:rsidRDefault="00836FAA" w:rsidP="00836FAA">
      <w:pPr>
        <w:spacing w:after="120"/>
        <w:jc w:val="both"/>
      </w:pPr>
      <w:r w:rsidRPr="00836FAA">
        <w:rPr>
          <w:b/>
          <w:bCs/>
        </w:rPr>
        <w:t>Author contributions:</w:t>
      </w:r>
      <w:r>
        <w:t xml:space="preserve"> A.R. conceived the research, designed the dual-track framework (PCGM and VICES), implemented the Constructive Solid Geometry pipeline, Graph Neural Network surrogate, physics guardrail engine, and Genetic Algorithm optimizer, generated and processed all 123 OpenFOAM reactingFoam simulations, analyzed the results, prepared all figures, and wrote the manuscript.</w:t>
      </w:r>
    </w:p>
    <w:p w:rsidR="00836FAA" w:rsidRDefault="00836FAA" w:rsidP="00836FAA">
      <w:pPr>
        <w:spacing w:after="120"/>
        <w:jc w:val="both"/>
      </w:pPr>
      <w:r w:rsidRPr="00836FAA">
        <w:rPr>
          <w:b/>
          <w:bCs/>
        </w:rPr>
        <w:t>Data availability:</w:t>
      </w:r>
      <w:r>
        <w:t xml:space="preserve"> The CFD simulation cases were generated using the open-source OpenFOAM reactingFoam solver (opencfd/openfoam-default, v2512). All 123 processed simulation cases (HDF5 format) and trained model checkpoints are available from the corresponding author on reasonable request.</w:t>
      </w:r>
    </w:p>
    <w:p w:rsidR="00E51A2C" w:rsidRDefault="00E51A2C" w:rsidP="00E51A2C">
      <w:pPr>
        <w:spacing w:after="120"/>
        <w:jc w:val="both"/>
      </w:pPr>
      <w:r>
        <w:t xml:space="preserve">A preprint version of this manuscript is available on Research Square: </w:t>
      </w:r>
    </w:p>
    <w:p w:rsidR="00E51A2C" w:rsidRDefault="00E51A2C" w:rsidP="00E51A2C">
      <w:pPr>
        <w:spacing w:after="120"/>
        <w:jc w:val="both"/>
      </w:pPr>
      <w:hyperlink r:id="rId10" w:history="1">
        <w:r w:rsidRPr="00F41F8F">
          <w:rPr>
            <w:rStyle w:val="Hyperlink"/>
          </w:rPr>
          <w:t>https://doi.org/10.21203/rs.3.rs-9891806/v1</w:t>
        </w:r>
      </w:hyperlink>
      <w:r>
        <w:t xml:space="preserve"> </w:t>
      </w:r>
    </w:p>
    <w:p w:rsidR="00836FAA" w:rsidRDefault="00836FAA" w:rsidP="00836FAA">
      <w:pPr>
        <w:spacing w:after="120"/>
        <w:jc w:val="both"/>
      </w:pPr>
      <w:r w:rsidRPr="00836FAA">
        <w:rPr>
          <w:b/>
          <w:bCs/>
        </w:rPr>
        <w:t>Code availability:</w:t>
      </w:r>
      <w:r>
        <w:t xml:space="preserve"> The framework implementation — including the PCGM geometry generator, VICES Constructive Solid Geometry pipeline, MultiHead MeshGraphNet surrogate, physics guardrail engine, Genetic Algorithm optimizer, and Streamlit dashboard — is available from the corresponding author on reasonable request.</w:t>
      </w:r>
    </w:p>
    <w:p w:rsidR="00346F6B" w:rsidRPr="00346F6B" w:rsidRDefault="00346F6B" w:rsidP="00346F6B">
      <w:pPr>
        <w:spacing w:after="120"/>
        <w:jc w:val="both"/>
        <w:rPr>
          <w:b/>
          <w:bCs/>
        </w:rPr>
      </w:pPr>
      <w:r w:rsidRPr="00346F6B">
        <w:rPr>
          <w:b/>
          <w:bCs/>
        </w:rPr>
        <w:t>Declaration of Generative AI and AI-Assisted Technologies in the Manuscript Preparation Process:</w:t>
      </w:r>
    </w:p>
    <w:p w:rsidR="00836FAA" w:rsidRDefault="00346F6B" w:rsidP="00346F6B">
      <w:pPr>
        <w:spacing w:after="120"/>
        <w:jc w:val="both"/>
      </w:pPr>
      <w:r>
        <w:t>During the preparation of this work, the author used Claude (Anthropic) for assistance with writing, editing, and structuring the manuscript. The author reviewed and edited all output as needed and takes full responsibility for the content of the published article.</w:t>
      </w:r>
    </w:p>
    <w:p w:rsidR="00C03587" w:rsidRDefault="00000000">
      <w:pPr>
        <w:spacing w:before="240" w:after="80"/>
      </w:pPr>
      <w:r>
        <w:rPr>
          <w:rFonts w:ascii="Times New Roman" w:hAnsi="Times New Roman"/>
          <w:b/>
          <w:color w:val="003366"/>
          <w:sz w:val="28"/>
        </w:rPr>
        <w:t>References</w:t>
      </w:r>
    </w:p>
    <w:p w:rsidR="00C03587" w:rsidRDefault="00000000">
      <w:pPr>
        <w:spacing w:after="60"/>
        <w:ind w:left="283"/>
      </w:pPr>
      <w:r>
        <w:rPr>
          <w:rFonts w:ascii="Times New Roman" w:hAnsi="Times New Roman"/>
          <w:sz w:val="18"/>
        </w:rPr>
        <w:t>[1] Granneman, E. et al. Batch ALD: characteristics, comparison with single wafer ALD, and examples. Surf. Coat. Technol. 201(22–23), 8899–8907 (2007).</w:t>
      </w:r>
    </w:p>
    <w:p w:rsidR="00C03587" w:rsidRDefault="00000000">
      <w:pPr>
        <w:spacing w:after="60"/>
        <w:ind w:left="283"/>
      </w:pPr>
      <w:r>
        <w:rPr>
          <w:rFonts w:ascii="Times New Roman" w:hAnsi="Times New Roman"/>
          <w:sz w:val="18"/>
        </w:rPr>
        <w:t>[2] Cremers, V. et al. Conformality in atomic layer deposition. Appl. Phys. Rev. 6(2), 021302 (2019).</w:t>
      </w:r>
    </w:p>
    <w:p w:rsidR="00C03587" w:rsidRDefault="00000000">
      <w:pPr>
        <w:spacing w:after="60"/>
        <w:ind w:left="283"/>
      </w:pPr>
      <w:r>
        <w:rPr>
          <w:rFonts w:ascii="Times New Roman" w:hAnsi="Times New Roman"/>
          <w:sz w:val="18"/>
        </w:rPr>
        <w:t>[3] Pan, D. et al. Multiscale modeling of ALD of Al2O3. J. Vac. Sci. Technol. A 33(2), 021512 (2015).</w:t>
      </w:r>
    </w:p>
    <w:p w:rsidR="00C03587" w:rsidRDefault="00000000">
      <w:pPr>
        <w:spacing w:after="60"/>
        <w:ind w:left="283"/>
      </w:pPr>
      <w:r>
        <w:rPr>
          <w:rFonts w:ascii="Times New Roman" w:hAnsi="Times New Roman"/>
          <w:sz w:val="18"/>
        </w:rPr>
        <w:t>[4] Argonne aldFoam. https://github.com/argonne-lcf/aldfoam (2020).</w:t>
      </w:r>
    </w:p>
    <w:p w:rsidR="00C03587" w:rsidRDefault="00000000">
      <w:pPr>
        <w:spacing w:after="60"/>
        <w:ind w:left="283"/>
      </w:pPr>
      <w:r>
        <w:rPr>
          <w:rFonts w:ascii="Times New Roman" w:hAnsi="Times New Roman"/>
          <w:sz w:val="18"/>
        </w:rPr>
        <w:t>[5] OpenFOAM Foundation. OpenFOAM v2512. https://openfoam.org (2024).</w:t>
      </w:r>
    </w:p>
    <w:p w:rsidR="00C03587" w:rsidRDefault="00000000">
      <w:pPr>
        <w:spacing w:after="60"/>
        <w:ind w:left="283"/>
      </w:pPr>
      <w:r>
        <w:rPr>
          <w:rFonts w:ascii="Times New Roman" w:hAnsi="Times New Roman"/>
          <w:sz w:val="18"/>
        </w:rPr>
        <w:t>[6] Pfaff, T. et al. Learning Mesh-Based Simulation with Graph Networks. ICLR 2021.</w:t>
      </w:r>
    </w:p>
    <w:p w:rsidR="00C03587" w:rsidRDefault="00000000">
      <w:pPr>
        <w:spacing w:after="60"/>
        <w:ind w:left="283"/>
      </w:pPr>
      <w:r>
        <w:rPr>
          <w:rFonts w:ascii="Times New Roman" w:hAnsi="Times New Roman"/>
          <w:sz w:val="18"/>
        </w:rPr>
        <w:lastRenderedPageBreak/>
        <w:t>[7] Bonnet, F. et al. AirfRANS: High Fidelity CFD Dataset for RANS Approximation. NeurIPS 2022.</w:t>
      </w:r>
    </w:p>
    <w:p w:rsidR="00C03587" w:rsidRDefault="00000000">
      <w:pPr>
        <w:spacing w:after="60"/>
        <w:ind w:left="283"/>
      </w:pPr>
      <w:r>
        <w:rPr>
          <w:rFonts w:ascii="Times New Roman" w:hAnsi="Times New Roman"/>
          <w:sz w:val="18"/>
        </w:rPr>
        <w:t>[8] Fey, M. &amp; Lenssen, J.E. Fast Graph Representation Learning with PyTorch Geometric. ICLR Workshop 2019.</w:t>
      </w:r>
    </w:p>
    <w:p w:rsidR="00C03587" w:rsidRDefault="00000000">
      <w:pPr>
        <w:spacing w:after="60"/>
        <w:ind w:left="283"/>
      </w:pPr>
      <w:r>
        <w:rPr>
          <w:rFonts w:ascii="Times New Roman" w:hAnsi="Times New Roman"/>
          <w:sz w:val="18"/>
        </w:rPr>
        <w:t>[9] LEAP71. PicoGK open-source geometry kernel. https://github.com/leap71/PicoGK (2023).</w:t>
      </w:r>
    </w:p>
    <w:p w:rsidR="00C03587" w:rsidRDefault="00000000">
      <w:pPr>
        <w:spacing w:after="60"/>
        <w:ind w:left="283"/>
      </w:pPr>
      <w:r>
        <w:rPr>
          <w:rFonts w:ascii="Times New Roman" w:hAnsi="Times New Roman"/>
          <w:sz w:val="18"/>
        </w:rPr>
        <w:t>[10] Lorensen, W.E. &amp; Cline, H.E. Marching cubes. ACM SIGGRAPH 21(4), 163–169 (1987).</w:t>
      </w:r>
    </w:p>
    <w:p w:rsidR="00C03587" w:rsidRDefault="00000000">
      <w:pPr>
        <w:spacing w:after="60"/>
        <w:ind w:left="283"/>
      </w:pPr>
      <w:r>
        <w:rPr>
          <w:rFonts w:ascii="Times New Roman" w:hAnsi="Times New Roman"/>
          <w:sz w:val="18"/>
        </w:rPr>
        <w:t>[11] PyMCubes. https://github.com/pmneila/PyMCubes (2021).</w:t>
      </w:r>
    </w:p>
    <w:p w:rsidR="00C03587" w:rsidRDefault="00000000">
      <w:pPr>
        <w:spacing w:after="60"/>
        <w:ind w:left="283"/>
      </w:pPr>
      <w:r>
        <w:rPr>
          <w:rFonts w:ascii="Times New Roman" w:hAnsi="Times New Roman"/>
          <w:sz w:val="18"/>
        </w:rPr>
        <w:t>[12] Zuckerman, N. &amp; Lior, N. Jet impingement heat transfer. Adv. Heat Transf. 39, 565–631 (2006).</w:t>
      </w:r>
    </w:p>
    <w:p w:rsidR="00C03587" w:rsidRDefault="00000000">
      <w:pPr>
        <w:spacing w:after="60"/>
        <w:ind w:left="283"/>
      </w:pPr>
      <w:r>
        <w:rPr>
          <w:rFonts w:ascii="Times New Roman" w:hAnsi="Times New Roman"/>
          <w:sz w:val="18"/>
        </w:rPr>
        <w:t>[13] Sherwood number dataset. Mendeley Data. https://data.mendeley.com (2021).</w:t>
      </w:r>
    </w:p>
    <w:sectPr w:rsidR="00C03587"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911133">
    <w:abstractNumId w:val="8"/>
  </w:num>
  <w:num w:numId="2" w16cid:durableId="911618550">
    <w:abstractNumId w:val="6"/>
  </w:num>
  <w:num w:numId="3" w16cid:durableId="1599171060">
    <w:abstractNumId w:val="5"/>
  </w:num>
  <w:num w:numId="4" w16cid:durableId="394549339">
    <w:abstractNumId w:val="4"/>
  </w:num>
  <w:num w:numId="5" w16cid:durableId="1370187339">
    <w:abstractNumId w:val="7"/>
  </w:num>
  <w:num w:numId="6" w16cid:durableId="1296302269">
    <w:abstractNumId w:val="3"/>
  </w:num>
  <w:num w:numId="7" w16cid:durableId="976255616">
    <w:abstractNumId w:val="2"/>
  </w:num>
  <w:num w:numId="8" w16cid:durableId="1789229835">
    <w:abstractNumId w:val="1"/>
  </w:num>
  <w:num w:numId="9" w16cid:durableId="78180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BCF"/>
    <w:rsid w:val="00326F90"/>
    <w:rsid w:val="00346F6B"/>
    <w:rsid w:val="003C3E48"/>
    <w:rsid w:val="004E5BB9"/>
    <w:rsid w:val="005D0590"/>
    <w:rsid w:val="00614B36"/>
    <w:rsid w:val="00741AFD"/>
    <w:rsid w:val="007F280F"/>
    <w:rsid w:val="00836FAA"/>
    <w:rsid w:val="00926628"/>
    <w:rsid w:val="00AA1D8D"/>
    <w:rsid w:val="00B41D41"/>
    <w:rsid w:val="00B47730"/>
    <w:rsid w:val="00B76CA8"/>
    <w:rsid w:val="00C03587"/>
    <w:rsid w:val="00CB0664"/>
    <w:rsid w:val="00CF64BE"/>
    <w:rsid w:val="00DF56AD"/>
    <w:rsid w:val="00E51A2C"/>
    <w:rsid w:val="00F06AC7"/>
    <w:rsid w:val="00F55B0C"/>
    <w:rsid w:val="00F600D5"/>
    <w:rsid w:val="00FA0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305EF"/>
  <w14:defaultImageDpi w14:val="300"/>
  <w15:docId w15:val="{197E7154-D736-A344-8CBF-BC5904EEA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3E48"/>
    <w:rPr>
      <w:color w:val="0000FF" w:themeColor="hyperlink"/>
      <w:u w:val="single"/>
    </w:rPr>
  </w:style>
  <w:style w:type="character" w:styleId="UnresolvedMention">
    <w:name w:val="Unresolved Mention"/>
    <w:basedOn w:val="DefaultParagraphFont"/>
    <w:uiPriority w:val="99"/>
    <w:semiHidden/>
    <w:unhideWhenUsed/>
    <w:rsid w:val="003C3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21203/rs.3.rs-9891806/v1"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6144</Words>
  <Characters>35024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Rana</cp:lastModifiedBy>
  <cp:revision>7</cp:revision>
  <dcterms:created xsi:type="dcterms:W3CDTF">2026-06-02T02:57:00Z</dcterms:created>
  <dcterms:modified xsi:type="dcterms:W3CDTF">2026-06-04T03:37:00Z</dcterms:modified>
  <cp:category/>
</cp:coreProperties>
</file>