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rFonts w:ascii="Times New Roman" w:hAnsi="Times New Roman"/>
          <w:b w:val="0"/>
          <w:sz w:val="24"/>
        </w:rPr>
        <w:t>18 June 2026</w:t>
      </w:r>
    </w:p>
    <w:p>
      <w:pPr>
        <w:spacing w:after="120" w:before="0"/>
      </w:pPr>
      <w:r>
        <w:rPr>
          <w:rFonts w:ascii="Times New Roman" w:hAnsi="Times New Roman"/>
          <w:b w:val="0"/>
          <w:sz w:val="24"/>
        </w:rPr>
      </w:r>
    </w:p>
    <w:p>
      <w:pPr>
        <w:spacing w:after="120" w:before="0"/>
      </w:pPr>
      <w:r>
        <w:rPr>
          <w:rFonts w:ascii="Times New Roman" w:hAnsi="Times New Roman"/>
          <w:b/>
          <w:sz w:val="24"/>
        </w:rPr>
        <w:t>The Editor-in-Chief</w:t>
      </w:r>
    </w:p>
    <w:p>
      <w:pPr>
        <w:spacing w:after="120" w:before="0"/>
      </w:pPr>
      <w:r>
        <w:rPr>
          <w:rFonts w:ascii="Times New Roman" w:hAnsi="Times New Roman"/>
          <w:b/>
          <w:sz w:val="24"/>
        </w:rPr>
        <w:t>Computers &amp; Chemical Engineering</w:t>
      </w:r>
    </w:p>
    <w:p>
      <w:pPr>
        <w:spacing w:after="120" w:before="0"/>
      </w:pPr>
      <w:r>
        <w:rPr>
          <w:rFonts w:ascii="Times New Roman" w:hAnsi="Times New Roman"/>
          <w:b w:val="0"/>
          <w:sz w:val="24"/>
        </w:rPr>
        <w:t>Elsevier Ltd.</w:t>
      </w:r>
    </w:p>
    <w:p>
      <w:pPr>
        <w:spacing w:after="120" w:before="0"/>
      </w:pPr>
      <w:r>
        <w:rPr>
          <w:rFonts w:ascii="Times New Roman" w:hAnsi="Times New Roman"/>
          <w:b w:val="0"/>
          <w:sz w:val="24"/>
        </w:rPr>
      </w:r>
    </w:p>
    <w:p>
      <w:pPr>
        <w:spacing w:after="120" w:before="0"/>
      </w:pPr>
      <w:r>
        <w:rPr>
          <w:rFonts w:ascii="Times New Roman" w:hAnsi="Times New Roman"/>
          <w:b w:val="0"/>
          <w:sz w:val="24"/>
        </w:rPr>
        <w:t>Dear Editor,</w:t>
      </w:r>
    </w:p>
    <w:p>
      <w:pPr>
        <w:spacing w:after="120" w:before="0"/>
      </w:pPr>
      <w:r>
        <w:rPr>
          <w:rFonts w:ascii="Times New Roman" w:hAnsi="Times New Roman"/>
          <w:b w:val="0"/>
          <w:sz w:val="24"/>
        </w:rPr>
      </w:r>
    </w:p>
    <w:p>
      <w:pPr>
        <w:spacing w:after="120" w:before="0"/>
      </w:pPr>
      <w:r>
        <w:rPr>
          <w:rFonts w:ascii="Times New Roman" w:hAnsi="Times New Roman"/>
          <w:b w:val="0"/>
          <w:sz w:val="24"/>
        </w:rPr>
        <w:t>We are pleased to submit our manuscript entitled "Atomic Layer Deposition Showerhead Geometry Optimisation via a Physics-Guardrailed Dual-Track Surrogate Framework: Parametric and Topology-Variable CSG Search" for consideration for publication in Computers &amp; Chemical Engineering.</w:t>
      </w:r>
    </w:p>
    <w:p>
      <w:pPr>
        <w:spacing w:after="120" w:before="0"/>
      </w:pPr>
      <w:r>
        <w:rPr>
          <w:rFonts w:ascii="Times New Roman" w:hAnsi="Times New Roman"/>
          <w:b w:val="0"/>
          <w:sz w:val="24"/>
        </w:rPr>
      </w:r>
    </w:p>
    <w:p>
      <w:pPr>
        <w:spacing w:after="120" w:before="0"/>
      </w:pPr>
      <w:r>
        <w:rPr>
          <w:rFonts w:ascii="Times New Roman" w:hAnsi="Times New Roman"/>
          <w:b w:val="0"/>
          <w:sz w:val="24"/>
        </w:rPr>
        <w:t>The work addresses a fundamental problem in semiconductor manufacturing: rational design of the ALD reactor showerhead to achieve uniform precursor (TMA) distribution across the wafer. The central finding is that topology-level geometry change — not parametric tuning — is the binding constraint on uniformity: an annular-ring showerhead achieves a 130% improvement in TMA Uniformity Index (0.792 vs 0.344) over the best parametric hex-array design, a geometry that cannot be reached by any nozzle parameter adjustment. To discover such solutions efficiently, we develop a physics-guardrailed dual-track surrogate framework combining a parametric track (PCGM) and a topology-variable CSG geometry synthesis track (VICES), both sharing a multi-head Graph Neural Network surrogate trained on 123 high-fidelity OpenFOAM reactingFoam CFD cases.</w:t>
      </w:r>
    </w:p>
    <w:p>
      <w:pPr>
        <w:spacing w:after="120" w:before="0"/>
      </w:pPr>
      <w:r>
        <w:rPr>
          <w:rFonts w:ascii="Times New Roman" w:hAnsi="Times New Roman"/>
          <w:b w:val="0"/>
          <w:sz w:val="24"/>
        </w:rPr>
      </w:r>
    </w:p>
    <w:p>
      <w:pPr>
        <w:spacing w:after="120" w:before="0"/>
      </w:pPr>
      <w:r>
        <w:rPr>
          <w:rFonts w:ascii="Times New Roman" w:hAnsi="Times New Roman"/>
          <w:b w:val="0"/>
          <w:sz w:val="24"/>
        </w:rPr>
        <w:t>This paper is directly within the scope of Computers &amp; Chemical Engineering. The core contributions — surrogate-accelerated process equipment optimisation, physics-guardrailed GNN inference, and topology-variable geometry search for chemical reactor design — are precisely the kind of computational methods for chemical engineering that the journal publishes. The ALD showerhead is a chemical reactor component; the uniformity metric (TMA-UI) is a mass transfer outcome; and the 123-case CFD training dataset is fully open-source and reproducible using standard OpenFOAM.</w:t>
      </w:r>
    </w:p>
    <w:p>
      <w:pPr>
        <w:spacing w:after="120" w:before="0"/>
      </w:pPr>
      <w:r>
        <w:rPr>
          <w:rFonts w:ascii="Times New Roman" w:hAnsi="Times New Roman"/>
          <w:b w:val="0"/>
          <w:sz w:val="24"/>
        </w:rPr>
      </w:r>
    </w:p>
    <w:p>
      <w:pPr>
        <w:spacing w:after="120" w:before="0"/>
      </w:pPr>
      <w:r>
        <w:rPr>
          <w:rFonts w:ascii="Times New Roman" w:hAnsi="Times New Roman"/>
          <w:b w:val="0"/>
          <w:sz w:val="24"/>
        </w:rPr>
        <w:t>We confirm that this manuscript is original, has not been published previously, and is not under consideration for publication elsewhere. All authors have approved the manuscript and agree to its submission. There are no conflicts of interest to declare.</w:t>
      </w:r>
    </w:p>
    <w:p>
      <w:pPr>
        <w:spacing w:after="120" w:before="0"/>
      </w:pPr>
      <w:r>
        <w:rPr>
          <w:rFonts w:ascii="Times New Roman" w:hAnsi="Times New Roman"/>
          <w:b w:val="0"/>
          <w:sz w:val="24"/>
        </w:rPr>
      </w:r>
    </w:p>
    <w:p>
      <w:pPr>
        <w:spacing w:after="120" w:before="0"/>
      </w:pPr>
      <w:r>
        <w:rPr>
          <w:rFonts w:ascii="Times New Roman" w:hAnsi="Times New Roman"/>
          <w:b w:val="0"/>
          <w:sz w:val="24"/>
        </w:rPr>
        <w:t>We hope you will find this work suitable for Computers &amp; Chemical Engineering and look forward to your response.</w:t>
      </w:r>
    </w:p>
    <w:p>
      <w:pPr>
        <w:spacing w:after="120" w:before="0"/>
      </w:pPr>
      <w:r>
        <w:rPr>
          <w:rFonts w:ascii="Times New Roman" w:hAnsi="Times New Roman"/>
          <w:b w:val="0"/>
          <w:sz w:val="24"/>
        </w:rPr>
      </w:r>
    </w:p>
    <w:p>
      <w:pPr>
        <w:spacing w:after="120" w:before="0"/>
      </w:pPr>
      <w:r>
        <w:rPr>
          <w:rFonts w:ascii="Times New Roman" w:hAnsi="Times New Roman"/>
          <w:b w:val="0"/>
          <w:sz w:val="24"/>
        </w:rPr>
        <w:t>Yours sincerely,</w:t>
      </w:r>
    </w:p>
    <w:p>
      <w:pPr>
        <w:spacing w:after="120" w:before="0"/>
      </w:pPr>
      <w:r>
        <w:rPr>
          <w:rFonts w:ascii="Times New Roman" w:hAnsi="Times New Roman"/>
          <w:b w:val="0"/>
          <w:sz w:val="24"/>
        </w:rPr>
      </w:r>
    </w:p>
    <w:p>
      <w:pPr>
        <w:spacing w:after="120" w:before="0"/>
      </w:pPr>
      <w:r>
        <w:rPr>
          <w:rFonts w:ascii="Times New Roman" w:hAnsi="Times New Roman"/>
          <w:b w:val="0"/>
          <w:sz w:val="24"/>
        </w:rPr>
      </w:r>
    </w:p>
    <w:p>
      <w:pPr>
        <w:spacing w:after="120" w:before="0"/>
      </w:pPr>
      <w:r>
        <w:rPr>
          <w:rFonts w:ascii="Times New Roman" w:hAnsi="Times New Roman"/>
          <w:b w:val="0"/>
          <w:sz w:val="24"/>
        </w:rPr>
        <w:t>Amit Rana</w:t>
      </w:r>
    </w:p>
    <w:p>
      <w:pPr>
        <w:spacing w:after="120" w:before="0"/>
      </w:pPr>
      <w:r>
        <w:rPr>
          <w:rFonts w:ascii="Times New Roman" w:hAnsi="Times New Roman"/>
          <w:b w:val="0"/>
          <w:sz w:val="24"/>
        </w:rPr>
        <w:t>Corresponding Author</w:t>
      </w:r>
    </w:p>
    <w:p>
      <w:pPr>
        <w:spacing w:after="120" w:before="0"/>
      </w:pPr>
      <w:r>
        <w:rPr>
          <w:rFonts w:ascii="Times New Roman" w:hAnsi="Times New Roman"/>
          <w:b w:val="0"/>
          <w:sz w:val="24"/>
        </w:rPr>
        <w:t>ORCID: 0009-0008-5998-6560</w:t>
      </w:r>
    </w:p>
    <w:p>
      <w:pPr>
        <w:spacing w:after="120" w:before="0"/>
      </w:pPr>
      <w:r>
        <w:rPr>
          <w:rFonts w:ascii="Times New Roman" w:hAnsi="Times New Roman"/>
          <w:b w:val="0"/>
          <w:sz w:val="24"/>
        </w:rPr>
        <w:t>amit21aim@zohomail.com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