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sz w:val="28"/>
        </w:rPr>
        <w:t>Highlights</w:t>
      </w:r>
    </w:p>
    <w:p>
      <w:pPr>
        <w:pStyle w:val="ListBullet"/>
      </w:pPr>
      <w:r>
        <w:rPr>
          <w:rFonts w:ascii="Times New Roman" w:hAnsi="Times New Roman"/>
          <w:sz w:val="24"/>
        </w:rPr>
        <w:t>Topology-level geometry change yields 130% TMA uniformity gain over parametric tuning</w:t>
      </w:r>
    </w:p>
    <w:p>
      <w:pPr>
        <w:pStyle w:val="ListBullet"/>
      </w:pPr>
      <w:r>
        <w:rPr>
          <w:rFonts w:ascii="Times New Roman" w:hAnsi="Times New Roman"/>
          <w:sz w:val="24"/>
        </w:rPr>
        <w:t>Physics-guardrailed GNN trained on 123 reactingFoam CFD cases (Re, Da, Sc, Eu checks)</w:t>
      </w:r>
    </w:p>
    <w:p>
      <w:pPr>
        <w:pStyle w:val="ListBullet"/>
      </w:pPr>
      <w:r>
        <w:rPr>
          <w:rFonts w:ascii="Times New Roman" w:hAnsi="Times New Roman"/>
          <w:sz w:val="24"/>
        </w:rPr>
        <w:t>Dual-track framework: parametric PCGM and topology-variable VICES CSG geometry search</w:t>
      </w:r>
    </w:p>
    <w:p>
      <w:pPr>
        <w:pStyle w:val="ListBullet"/>
      </w:pPr>
      <w:r>
        <w:rPr>
          <w:rFonts w:ascii="Times New Roman" w:hAnsi="Times New Roman"/>
          <w:sz w:val="24"/>
        </w:rPr>
        <w:t>KPI surrogate achieves OOF Spearman rho=0.947 on held-out ALD showerhead cases</w:t>
      </w:r>
    </w:p>
    <w:p>
      <w:pPr>
        <w:pStyle w:val="ListBullet"/>
      </w:pPr>
      <w:r>
        <w:rPr>
          <w:rFonts w:ascii="Times New Roman" w:hAnsi="Times New Roman"/>
          <w:sz w:val="24"/>
        </w:rPr>
        <w:t>Surrogate cuts ALD showerhead design time from weeks of CFD to minutes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