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Times New Roman" w:hAnsi="Times New Roman"/>
          <w:b w:val="0"/>
          <w:sz w:val="24"/>
        </w:rPr>
        <w:t>15 June 2026</w:t>
      </w:r>
    </w:p>
    <w:p>
      <w:pPr>
        <w:spacing w:after="120" w:before="0"/>
      </w:pPr>
      <w:r>
        <w:rPr>
          <w:rFonts w:ascii="Times New Roman" w:hAnsi="Times New Roman"/>
          <w:b w:val="0"/>
          <w:sz w:val="24"/>
        </w:rPr>
      </w:r>
    </w:p>
    <w:p>
      <w:pPr>
        <w:spacing w:after="120" w:before="0"/>
      </w:pPr>
      <w:r>
        <w:rPr>
          <w:rFonts w:ascii="Times New Roman" w:hAnsi="Times New Roman"/>
          <w:b/>
          <w:sz w:val="24"/>
        </w:rPr>
        <w:t>The Editor-in-Chief</w:t>
      </w:r>
    </w:p>
    <w:p>
      <w:pPr>
        <w:spacing w:after="120" w:before="0"/>
      </w:pPr>
      <w:r>
        <w:rPr>
          <w:rFonts w:ascii="Times New Roman" w:hAnsi="Times New Roman"/>
          <w:b/>
          <w:sz w:val="24"/>
        </w:rPr>
        <w:t>Chemical Engineering Science</w:t>
      </w:r>
    </w:p>
    <w:p>
      <w:pPr>
        <w:spacing w:after="120" w:before="0"/>
      </w:pPr>
      <w:r>
        <w:rPr>
          <w:rFonts w:ascii="Times New Roman" w:hAnsi="Times New Roman"/>
          <w:b w:val="0"/>
          <w:sz w:val="24"/>
        </w:rPr>
        <w:t>Elsevier Ltd.</w:t>
      </w:r>
    </w:p>
    <w:p>
      <w:pPr>
        <w:spacing w:after="120" w:before="0"/>
      </w:pPr>
      <w:r>
        <w:rPr>
          <w:rFonts w:ascii="Times New Roman" w:hAnsi="Times New Roman"/>
          <w:b w:val="0"/>
          <w:sz w:val="24"/>
        </w:rPr>
      </w:r>
    </w:p>
    <w:p>
      <w:pPr>
        <w:spacing w:after="120" w:before="0"/>
      </w:pPr>
      <w:r>
        <w:rPr>
          <w:rFonts w:ascii="Times New Roman" w:hAnsi="Times New Roman"/>
          <w:b w:val="0"/>
          <w:sz w:val="24"/>
        </w:rPr>
        <w:t>Dear Editor,</w:t>
      </w:r>
    </w:p>
    <w:p>
      <w:pPr>
        <w:spacing w:after="120" w:before="0"/>
      </w:pPr>
      <w:r>
        <w:rPr>
          <w:rFonts w:ascii="Times New Roman" w:hAnsi="Times New Roman"/>
          <w:b w:val="0"/>
          <w:sz w:val="24"/>
        </w:rPr>
      </w:r>
    </w:p>
    <w:p>
      <w:pPr>
        <w:spacing w:after="120" w:before="0"/>
      </w:pPr>
      <w:r>
        <w:rPr>
          <w:rFonts w:ascii="Times New Roman" w:hAnsi="Times New Roman"/>
          <w:b w:val="0"/>
          <w:sz w:val="24"/>
        </w:rPr>
        <w:t>We are pleased to submit our manuscript entitled "Atomic Layer Deposition Showerhead Geometry Optimisation via a Physics-Guardrailed Dual-Track Surrogate Framework: Parametric and Topology-Variable CSG Search" for consideration for publication in Chemical Engineering Science. This manuscript was previously submitted to Chemical Engineering Journal (Manuscript No. CEJ-D-26-28041), where the handling editor kindly identified Chemical Engineering Science as a more suitable venue and facilitated the transfer.</w:t>
      </w:r>
    </w:p>
    <w:p>
      <w:pPr>
        <w:spacing w:after="120" w:before="0"/>
      </w:pPr>
      <w:r>
        <w:rPr>
          <w:rFonts w:ascii="Times New Roman" w:hAnsi="Times New Roman"/>
          <w:b w:val="0"/>
          <w:sz w:val="24"/>
        </w:rPr>
      </w:r>
    </w:p>
    <w:p>
      <w:pPr>
        <w:spacing w:after="120" w:before="0"/>
      </w:pPr>
      <w:r>
        <w:rPr>
          <w:rFonts w:ascii="Times New Roman" w:hAnsi="Times New Roman"/>
          <w:b w:val="0"/>
          <w:sz w:val="24"/>
        </w:rPr>
        <w:t>The work addresses a fundamental challenge in semiconductor manufacturing: how to rationally design the showerhead geometry of an Atomic Layer Deposition (ALD) reactor to achieve uniform precursor (TMA) distribution across the wafer. We present a physics-guardrailed, dual-track surrogate framework that combines (i) a parametric track (PCGM — Physics-Constrained Geometric Morphogenesis) operating over continuous nozzle-array parameters, and (ii) a topology-variable track (VICES — Voxel-Implicit Computational Engineering Synthesis) that explores novel showerhead geometries via voxel-implicit constructive solid geometry (CSG) and Marching Cubes surface reconstruction. Both tracks share a physics-guardrailed multi-head Graph Neural Network (GNN) surrogate trained on 123 high-fidelity reactingFoam CFD cases, enforcing dimensional analysis constraints (Re, Da, Sc, Pe_m, Eu) at inference time to flag physically inadmissible candidates before evaluation.</w:t>
      </w:r>
    </w:p>
    <w:p>
      <w:pPr>
        <w:spacing w:after="120" w:before="0"/>
      </w:pPr>
      <w:r>
        <w:rPr>
          <w:rFonts w:ascii="Times New Roman" w:hAnsi="Times New Roman"/>
          <w:b w:val="0"/>
          <w:sz w:val="24"/>
        </w:rPr>
      </w:r>
    </w:p>
    <w:p>
      <w:pPr>
        <w:spacing w:after="120" w:before="0"/>
      </w:pPr>
      <w:r>
        <w:rPr>
          <w:rFonts w:ascii="Times New Roman" w:hAnsi="Times New Roman"/>
          <w:b w:val="0"/>
          <w:sz w:val="24"/>
        </w:rPr>
        <w:t>The paper's relevance to Chemical Engineering Science stems directly from its core subject matter: reactive species transport, diffusion-convection balance (Damköhler number), and heat/mass transfer in confined reactor geometries — all central to the journal's scope. The surrogate-accelerated optimisation framework reduces the time from geometry specification to optimal design from weeks of CFD simulation to minutes of inference, with physics guardrails ensuring regime validity throughout. We validate on 123 reactingFoam cases (Track 1: 83 cases; Track 2: 40 cases across 4 geometry families), achieving a KPI surrogate out-of-fold R² = 0.81 and Spearman ρ = 0.88.</w:t>
      </w:r>
    </w:p>
    <w:p>
      <w:pPr>
        <w:spacing w:after="120" w:before="0"/>
      </w:pPr>
      <w:r>
        <w:rPr>
          <w:rFonts w:ascii="Times New Roman" w:hAnsi="Times New Roman"/>
          <w:b w:val="0"/>
          <w:sz w:val="24"/>
        </w:rPr>
      </w:r>
    </w:p>
    <w:p>
      <w:pPr>
        <w:spacing w:after="120" w:before="0"/>
      </w:pPr>
      <w:r>
        <w:rPr>
          <w:rFonts w:ascii="Times New Roman" w:hAnsi="Times New Roman"/>
          <w:b w:val="0"/>
          <w:sz w:val="24"/>
        </w:rPr>
        <w:t>We confirm that this manuscript is original, has not been published previously, and is not under consideration for publication elsewhere. All authors have approved the manuscript and agree to its submission to Chemical Engineering Science. There are no conflicts of interest to declare.</w:t>
      </w:r>
    </w:p>
    <w:p>
      <w:pPr>
        <w:spacing w:after="120" w:before="0"/>
      </w:pPr>
      <w:r>
        <w:rPr>
          <w:rFonts w:ascii="Times New Roman" w:hAnsi="Times New Roman"/>
          <w:b w:val="0"/>
          <w:sz w:val="24"/>
        </w:rPr>
      </w:r>
    </w:p>
    <w:p>
      <w:pPr>
        <w:spacing w:after="120" w:before="0"/>
      </w:pPr>
      <w:r>
        <w:rPr>
          <w:rFonts w:ascii="Times New Roman" w:hAnsi="Times New Roman"/>
          <w:b w:val="0"/>
          <w:sz w:val="24"/>
        </w:rPr>
        <w:t>We hope you will find this work suitable for publication in Chemical Engineering Science and look forward to your response.</w:t>
      </w:r>
    </w:p>
    <w:p>
      <w:pPr>
        <w:spacing w:after="120" w:before="0"/>
      </w:pPr>
      <w:r>
        <w:rPr>
          <w:rFonts w:ascii="Times New Roman" w:hAnsi="Times New Roman"/>
          <w:b w:val="0"/>
          <w:sz w:val="24"/>
        </w:rPr>
      </w:r>
    </w:p>
    <w:p>
      <w:pPr>
        <w:spacing w:after="120" w:before="0"/>
      </w:pPr>
      <w:r>
        <w:rPr>
          <w:rFonts w:ascii="Times New Roman" w:hAnsi="Times New Roman"/>
          <w:b w:val="0"/>
          <w:sz w:val="24"/>
        </w:rPr>
        <w:t>Yours sincerely,</w:t>
      </w:r>
    </w:p>
    <w:p>
      <w:pPr>
        <w:spacing w:after="120" w:before="0"/>
      </w:pPr>
      <w:r>
        <w:rPr>
          <w:rFonts w:ascii="Times New Roman" w:hAnsi="Times New Roman"/>
          <w:b w:val="0"/>
          <w:sz w:val="24"/>
        </w:rPr>
      </w:r>
    </w:p>
    <w:p>
      <w:pPr>
        <w:spacing w:after="120" w:before="0"/>
      </w:pPr>
      <w:r>
        <w:rPr>
          <w:rFonts w:ascii="Times New Roman" w:hAnsi="Times New Roman"/>
          <w:b w:val="0"/>
          <w:sz w:val="24"/>
        </w:rPr>
      </w:r>
    </w:p>
    <w:p>
      <w:pPr>
        <w:spacing w:after="120" w:before="0"/>
      </w:pPr>
      <w:r>
        <w:rPr>
          <w:rFonts w:ascii="Times New Roman" w:hAnsi="Times New Roman"/>
          <w:b w:val="0"/>
          <w:sz w:val="24"/>
        </w:rPr>
        <w:t>Amit Rana</w:t>
      </w:r>
    </w:p>
    <w:p>
      <w:pPr>
        <w:spacing w:after="120" w:before="0"/>
      </w:pPr>
      <w:r>
        <w:rPr>
          <w:rFonts w:ascii="Times New Roman" w:hAnsi="Times New Roman"/>
          <w:b w:val="0"/>
          <w:sz w:val="24"/>
        </w:rPr>
        <w:t>Corresponding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