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sz w:val="28"/>
        </w:rPr>
        <w:t>Highlights</w:t>
      </w:r>
    </w:p>
    <w:p>
      <w:pPr>
        <w:pStyle w:val="ListBullet"/>
      </w:pPr>
      <w:r>
        <w:rPr>
          <w:rFonts w:ascii="Times New Roman" w:hAnsi="Times New Roman"/>
          <w:sz w:val="24"/>
        </w:rPr>
        <w:t>Dual-track surrogate: parametric and topology tracks for ALD showerhead optimisation</w:t>
      </w:r>
    </w:p>
    <w:p>
      <w:pPr>
        <w:pStyle w:val="ListBullet"/>
      </w:pPr>
      <w:r>
        <w:rPr>
          <w:rFonts w:ascii="Times New Roman" w:hAnsi="Times New Roman"/>
          <w:sz w:val="24"/>
        </w:rPr>
        <w:t>Physics-guardrailed GNN trained on 123 reactingFoam CFD cases (Re, Da, Sc, Eu checks)</w:t>
      </w:r>
    </w:p>
    <w:p>
      <w:pPr>
        <w:pStyle w:val="ListBullet"/>
      </w:pPr>
      <w:r>
        <w:rPr>
          <w:rFonts w:ascii="Times New Roman" w:hAnsi="Times New Roman"/>
          <w:sz w:val="24"/>
        </w:rPr>
        <w:t>Voxel-implicit CSG topology search spans 4 showerhead geometry families via VICES</w:t>
      </w:r>
    </w:p>
    <w:p>
      <w:pPr>
        <w:pStyle w:val="ListBullet"/>
      </w:pPr>
      <w:r>
        <w:rPr>
          <w:rFonts w:ascii="Times New Roman" w:hAnsi="Times New Roman"/>
          <w:sz w:val="24"/>
        </w:rPr>
        <w:t>KPI surrogate achieves OOF R²=0.81, Spearman ρ=0.88 on 5-fold cross-validation</w:t>
      </w:r>
    </w:p>
    <w:p>
      <w:pPr>
        <w:pStyle w:val="ListBullet"/>
      </w:pPr>
      <w:r>
        <w:rPr>
          <w:rFonts w:ascii="Times New Roman" w:hAnsi="Times New Roman"/>
          <w:sz w:val="24"/>
        </w:rPr>
        <w:t>Surrogate cuts geometry-to-optimal-design time from weeks of CFD to minutes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