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i w:val="0"/>
          <w:color w:val="003366"/>
          <w:sz w:val="32"/>
        </w:rPr>
        <w:t>A Physics-Guardrailed Dual-Track Surrogate Framework for Atomic Layer Deposition Showerhead Geometry Optimisation: Parametric Morphogenesis and Voxel-Implicit Constructive Solid Geometry Topology-Aware Search</w:t>
      </w:r>
    </w:p>
    <w:p>
      <w:pPr>
        <w:jc w:val="center"/>
      </w:pPr>
      <w:r>
        <w:rPr>
          <w:rFonts w:ascii="Times New Roman" w:hAnsi="Times New Roman"/>
          <w:b/>
          <w:i w:val="0"/>
          <w:sz w:val="24"/>
        </w:rPr>
        <w:t>Amit Rana</w:t>
      </w:r>
    </w:p>
    <w:p>
      <w:pPr>
        <w:jc w:val="center"/>
      </w:pPr>
      <w:r>
        <w:rPr>
          <w:rFonts w:ascii="Times New Roman" w:hAnsi="Times New Roman"/>
          <w:b w:val="0"/>
          <w:i/>
          <w:sz w:val="20"/>
        </w:rPr>
        <w:t>Independent Researcher</w:t>
        <w:br/>
        <w:t>amit21aim@gmail.com</w:t>
        <w:br/>
        <w:t>ORCID: https://orcid.org/0009-0008-5998-6560</w:t>
        <w:br/>
        <w:t>Jun 2026</w:t>
      </w:r>
    </w:p>
    <w:p/>
    <w:p>
      <w:pPr>
        <w:spacing w:before="240" w:after="80"/>
      </w:pPr>
      <w:r>
        <w:rPr>
          <w:rFonts w:ascii="Times New Roman" w:hAnsi="Times New Roman"/>
          <w:b/>
          <w:i w:val="0"/>
          <w:color w:val="003366"/>
          <w:sz w:val="28"/>
        </w:rPr>
        <w:t>Abstract</w:t>
      </w:r>
    </w:p>
    <w:p>
      <w:pPr>
        <w:spacing w:after="120"/>
        <w:jc w:val="both"/>
      </w:pPr>
      <w:r>
        <w:rPr>
          <w:rFonts w:ascii="Times New Roman" w:hAnsi="Times New Roman"/>
          <w:b w:val="0"/>
          <w:i w:val="0"/>
          <w:sz w:val="22"/>
        </w:rPr>
        <w:t>Atomic Layer Deposition (</w:t>
      </w:r>
      <w:r>
        <w:rPr>
          <w:rFonts w:ascii="Times New Roman" w:hAnsi="Times New Roman"/>
          <w:b/>
          <w:i w:val="0"/>
          <w:sz w:val="22"/>
        </w:rPr>
        <w:t>ALD</w:t>
      </w:r>
      <w:r>
        <w:rPr>
          <w:rFonts w:ascii="Times New Roman" w:hAnsi="Times New Roman"/>
          <w:b w:val="0"/>
          <w:i w:val="0"/>
          <w:sz w:val="22"/>
        </w:rPr>
        <w:t>) — a nanoscale thin-film manufacturing process that deposits precisely one atomic layer per reaction cycle — demands extreme uniformity in precursor gas distribution across the wafer surface. The showerhead, a perforated faceplate that disperses process gas, is the critical hardware controlling this uniformity. Today, showerhead design is largely manual, guided by engineering intuition and expensive Computational Fluid Dynamics (</w:t>
      </w:r>
      <w:r>
        <w:rPr>
          <w:rFonts w:ascii="Times New Roman" w:hAnsi="Times New Roman"/>
          <w:b/>
          <w:i w:val="0"/>
          <w:sz w:val="22"/>
        </w:rPr>
        <w:t>CFD</w:t>
      </w:r>
      <w:r>
        <w:rPr>
          <w:rFonts w:ascii="Times New Roman" w:hAnsi="Times New Roman"/>
          <w:b w:val="0"/>
          <w:i w:val="0"/>
          <w:sz w:val="22"/>
        </w:rPr>
        <w:t>) simulations that each take 6–10 hours. This paper presents a physics-guardrailed, machine-learning-accelerated framework that evaluates new showerhead geometries in seconds. The framework operates on two parallel geometry tracks: Track 1 (</w:t>
      </w:r>
      <w:r>
        <w:rPr>
          <w:rFonts w:ascii="Times New Roman" w:hAnsi="Times New Roman"/>
          <w:b/>
          <w:i w:val="0"/>
          <w:sz w:val="22"/>
        </w:rPr>
        <w:t>PCGM</w:t>
      </w:r>
      <w:r>
        <w:rPr>
          <w:rFonts w:ascii="Times New Roman" w:hAnsi="Times New Roman"/>
          <w:b w:val="0"/>
          <w:i w:val="0"/>
          <w:sz w:val="22"/>
        </w:rPr>
        <w:t xml:space="preserve"> — Physics-Constrained Geometric Morphogenesis) searches a parametric hex nozzle array design space; Track 2 (</w:t>
      </w:r>
      <w:r>
        <w:rPr>
          <w:rFonts w:ascii="Times New Roman" w:hAnsi="Times New Roman"/>
          <w:b/>
          <w:i w:val="0"/>
          <w:sz w:val="22"/>
        </w:rPr>
        <w:t>VICES</w:t>
      </w:r>
      <w:r>
        <w:rPr>
          <w:rFonts w:ascii="Times New Roman" w:hAnsi="Times New Roman"/>
          <w:b w:val="0"/>
          <w:i w:val="0"/>
          <w:sz w:val="22"/>
        </w:rPr>
        <w:t xml:space="preserve"> — Voxel-Implicit Computational Engineering Synthesis) synthesises topologically novel geometries using Constructive Solid Geometry (</w:t>
      </w:r>
      <w:r>
        <w:rPr>
          <w:rFonts w:ascii="Times New Roman" w:hAnsi="Times New Roman"/>
          <w:b/>
          <w:i w:val="0"/>
          <w:sz w:val="22"/>
        </w:rPr>
        <w:t>CSG</w:t>
      </w:r>
      <w:r>
        <w:rPr>
          <w:rFonts w:ascii="Times New Roman" w:hAnsi="Times New Roman"/>
          <w:b w:val="0"/>
          <w:i w:val="0"/>
          <w:sz w:val="22"/>
        </w:rPr>
        <w:t>) boolean operations on Signed Distance Fields (</w:t>
      </w:r>
      <w:r>
        <w:rPr>
          <w:rFonts w:ascii="Times New Roman" w:hAnsi="Times New Roman"/>
          <w:b/>
          <w:i w:val="0"/>
          <w:sz w:val="22"/>
        </w:rPr>
        <w:t>SDF</w:t>
      </w:r>
      <w:r>
        <w:rPr>
          <w:rFonts w:ascii="Times New Roman" w:hAnsi="Times New Roman"/>
          <w:b w:val="0"/>
          <w:i w:val="0"/>
          <w:sz w:val="22"/>
        </w:rPr>
        <w:t>) followed by Marching Cubes triangulation, exploring four topology families. A multi-head Graph Neural Network (</w:t>
      </w:r>
      <w:r>
        <w:rPr>
          <w:rFonts w:ascii="Times New Roman" w:hAnsi="Times New Roman"/>
          <w:b/>
          <w:i w:val="0"/>
          <w:sz w:val="22"/>
        </w:rPr>
        <w:t>GNN</w:t>
      </w:r>
      <w:r>
        <w:rPr>
          <w:rFonts w:ascii="Times New Roman" w:hAnsi="Times New Roman"/>
          <w:b w:val="0"/>
          <w:i w:val="0"/>
          <w:sz w:val="22"/>
        </w:rPr>
        <w:t>) surrogate, trained on 123 OpenFOAM reactingFoam cases, predicts velocity, pressure, temperature, and species fields. An eleven-parameter physics guardrail engine enforces dimensionless-number constraints (</w:t>
      </w:r>
      <w:r>
        <w:rPr>
          <w:rFonts w:ascii="Times New Roman" w:hAnsi="Times New Roman"/>
          <w:b/>
          <w:i w:val="0"/>
          <w:sz w:val="22"/>
        </w:rPr>
        <w:t>Re</w:t>
      </w:r>
      <w:r>
        <w:rPr>
          <w:rFonts w:ascii="Times New Roman" w:hAnsi="Times New Roman"/>
          <w:b w:val="0"/>
          <w:i w:val="0"/>
          <w:sz w:val="22"/>
        </w:rPr>
        <w:t xml:space="preserve">, </w:t>
      </w:r>
      <w:r>
        <w:rPr>
          <w:rFonts w:ascii="Times New Roman" w:hAnsi="Times New Roman"/>
          <w:b/>
          <w:i w:val="0"/>
          <w:sz w:val="22"/>
        </w:rPr>
        <w:t>Ma</w:t>
      </w:r>
      <w:r>
        <w:rPr>
          <w:rFonts w:ascii="Times New Roman" w:hAnsi="Times New Roman"/>
          <w:b w:val="0"/>
          <w:i w:val="0"/>
          <w:sz w:val="22"/>
        </w:rPr>
        <w:t xml:space="preserve">, </w:t>
      </w:r>
      <w:r>
        <w:rPr>
          <w:rFonts w:ascii="Times New Roman" w:hAnsi="Times New Roman"/>
          <w:b/>
          <w:i w:val="0"/>
          <w:sz w:val="22"/>
        </w:rPr>
        <w:t>Eu</w:t>
      </w:r>
      <w:r>
        <w:rPr>
          <w:rFonts w:ascii="Times New Roman" w:hAnsi="Times New Roman"/>
          <w:b w:val="0"/>
          <w:i w:val="0"/>
          <w:sz w:val="22"/>
        </w:rPr>
        <w:t xml:space="preserve">, </w:t>
      </w:r>
      <w:r>
        <w:rPr>
          <w:rFonts w:ascii="Times New Roman" w:hAnsi="Times New Roman"/>
          <w:b/>
          <w:i w:val="0"/>
          <w:sz w:val="22"/>
        </w:rPr>
        <w:t>Pr</w:t>
      </w:r>
      <w:r>
        <w:rPr>
          <w:rFonts w:ascii="Times New Roman" w:hAnsi="Times New Roman"/>
          <w:b w:val="0"/>
          <w:i w:val="0"/>
          <w:sz w:val="22"/>
        </w:rPr>
        <w:t xml:space="preserve">, </w:t>
      </w:r>
      <w:r>
        <w:rPr>
          <w:rFonts w:ascii="Times New Roman" w:hAnsi="Times New Roman"/>
          <w:b/>
          <w:i w:val="0"/>
          <w:sz w:val="22"/>
        </w:rPr>
        <w:t>Nu</w:t>
      </w:r>
      <w:r>
        <w:rPr>
          <w:rFonts w:ascii="Times New Roman" w:hAnsi="Times New Roman"/>
          <w:b w:val="0"/>
          <w:i w:val="0"/>
          <w:sz w:val="22"/>
        </w:rPr>
        <w:t xml:space="preserve">, </w:t>
      </w:r>
      <w:r>
        <w:rPr>
          <w:rFonts w:ascii="Times New Roman" w:hAnsi="Times New Roman"/>
          <w:b/>
          <w:i w:val="0"/>
          <w:sz w:val="22"/>
        </w:rPr>
        <w:t>Bi</w:t>
      </w:r>
      <w:r>
        <w:rPr>
          <w:rFonts w:ascii="Times New Roman" w:hAnsi="Times New Roman"/>
          <w:b w:val="0"/>
          <w:i w:val="0"/>
          <w:sz w:val="22"/>
        </w:rPr>
        <w:t xml:space="preserve">, </w:t>
      </w:r>
      <w:r>
        <w:rPr>
          <w:rFonts w:ascii="Times New Roman" w:hAnsi="Times New Roman"/>
          <w:b/>
          <w:i w:val="0"/>
          <w:sz w:val="22"/>
        </w:rPr>
        <w:t>Sc</w:t>
      </w:r>
      <w:r>
        <w:rPr>
          <w:rFonts w:ascii="Times New Roman" w:hAnsi="Times New Roman"/>
          <w:b w:val="0"/>
          <w:i w:val="0"/>
          <w:sz w:val="22"/>
        </w:rPr>
        <w:t xml:space="preserve">, </w:t>
      </w:r>
      <w:r>
        <w:rPr>
          <w:rFonts w:ascii="Times New Roman" w:hAnsi="Times New Roman"/>
          <w:b/>
          <w:i w:val="0"/>
          <w:sz w:val="22"/>
        </w:rPr>
        <w:t>Sh</w:t>
      </w:r>
      <w:r>
        <w:rPr>
          <w:rFonts w:ascii="Times New Roman" w:hAnsi="Times New Roman"/>
          <w:b w:val="0"/>
          <w:i w:val="0"/>
          <w:sz w:val="22"/>
        </w:rPr>
        <w:t xml:space="preserve">, </w:t>
      </w:r>
      <w:r>
        <w:rPr>
          <w:rFonts w:ascii="Times New Roman" w:hAnsi="Times New Roman"/>
          <w:b/>
          <w:i w:val="0"/>
          <w:sz w:val="22"/>
        </w:rPr>
        <w:t>Pe_h</w:t>
      </w:r>
      <w:r>
        <w:rPr>
          <w:rFonts w:ascii="Times New Roman" w:hAnsi="Times New Roman"/>
          <w:b w:val="0"/>
          <w:i w:val="0"/>
          <w:sz w:val="22"/>
        </w:rPr>
        <w:t xml:space="preserve">, </w:t>
      </w:r>
      <w:r>
        <w:rPr>
          <w:rFonts w:ascii="Times New Roman" w:hAnsi="Times New Roman"/>
          <w:b/>
          <w:i w:val="0"/>
          <w:sz w:val="22"/>
        </w:rPr>
        <w:t>Pe_m</w:t>
      </w:r>
      <w:r>
        <w:rPr>
          <w:rFonts w:ascii="Times New Roman" w:hAnsi="Times New Roman"/>
          <w:b w:val="0"/>
          <w:i w:val="0"/>
          <w:sz w:val="22"/>
        </w:rPr>
        <w:t xml:space="preserve">, </w:t>
      </w:r>
      <w:r>
        <w:rPr>
          <w:rFonts w:ascii="Times New Roman" w:hAnsi="Times New Roman"/>
          <w:b/>
          <w:i w:val="0"/>
          <w:sz w:val="22"/>
        </w:rPr>
        <w:t>Da</w:t>
      </w:r>
      <w:r>
        <w:rPr>
          <w:rFonts w:ascii="Times New Roman" w:hAnsi="Times New Roman"/>
          <w:b w:val="0"/>
          <w:i w:val="0"/>
          <w:sz w:val="22"/>
        </w:rPr>
        <w:t>). A multi-fidelity Key Performance Indicator (</w:t>
      </w:r>
      <w:r>
        <w:rPr>
          <w:rFonts w:ascii="Times New Roman" w:hAnsi="Times New Roman"/>
          <w:b/>
          <w:i w:val="0"/>
          <w:sz w:val="22"/>
        </w:rPr>
        <w:t>KPI</w:t>
      </w:r>
      <w:r>
        <w:rPr>
          <w:rFonts w:ascii="Times New Roman" w:hAnsi="Times New Roman"/>
          <w:b w:val="0"/>
          <w:i w:val="0"/>
          <w:sz w:val="22"/>
        </w:rPr>
        <w:t>) surrogate achieves out-of-fold (</w:t>
      </w:r>
      <w:r>
        <w:rPr>
          <w:rFonts w:ascii="Times New Roman" w:hAnsi="Times New Roman"/>
          <w:b/>
          <w:i w:val="0"/>
          <w:sz w:val="22"/>
        </w:rPr>
        <w:t>OOF</w:t>
      </w:r>
      <w:r>
        <w:rPr>
          <w:rFonts w:ascii="Times New Roman" w:hAnsi="Times New Roman"/>
          <w:b w:val="0"/>
          <w:i w:val="0"/>
          <w:sz w:val="22"/>
        </w:rPr>
        <w:t xml:space="preserve">) Spearman rank correlation rho = 0.947. Track 2 topology search improves </w:t>
      </w:r>
      <w:r>
        <w:rPr>
          <w:rFonts w:ascii="Times New Roman" w:hAnsi="Times New Roman"/>
          <w:b/>
          <w:i w:val="0"/>
          <w:sz w:val="22"/>
        </w:rPr>
        <w:t>TMA</w:t>
      </w:r>
      <w:r>
        <w:rPr>
          <w:rFonts w:ascii="Times New Roman" w:hAnsi="Times New Roman"/>
          <w:b w:val="0"/>
          <w:i w:val="0"/>
          <w:sz w:val="22"/>
        </w:rPr>
        <w:t xml:space="preserve"> Uniformity Index (</w:t>
      </w:r>
      <w:r>
        <w:rPr>
          <w:rFonts w:ascii="Times New Roman" w:hAnsi="Times New Roman"/>
          <w:b w:val="0"/>
          <w:i w:val="0"/>
          <w:sz w:val="22"/>
        </w:rPr>
        <w:t>TMA</w:t>
      </w:r>
      <w:r>
        <w:rPr>
          <w:rFonts w:ascii="Times New Roman" w:hAnsi="Times New Roman"/>
          <w:b w:val="0"/>
          <w:i w:val="0"/>
          <w:sz w:val="22"/>
        </w:rPr>
        <w:t>-UI) by +0.448 over the best parametric design (0.792 vs 0.344, +130%), demonstrating that topology exploration unlocks performance gains inaccessible to parametric methods.</w:t>
      </w:r>
    </w:p>
    <w:p>
      <w:pPr>
        <w:spacing w:after="200"/>
      </w:pPr>
      <w:r>
        <w:rPr>
          <w:rFonts w:ascii="Times New Roman" w:hAnsi="Times New Roman"/>
          <w:b/>
          <w:i w:val="0"/>
          <w:sz w:val="22"/>
        </w:rPr>
        <w:t xml:space="preserve">Keywords: </w:t>
      </w:r>
      <w:r>
        <w:rPr>
          <w:rFonts w:ascii="Times New Roman" w:hAnsi="Times New Roman"/>
          <w:b w:val="0"/>
          <w:i/>
          <w:sz w:val="22"/>
        </w:rPr>
        <w:t>Atomic Layer Deposition; Graph Neural Network surrogate; Constructive Solid Geometry; Signed Distance Field; Marching Cubes; Physics guardrails; Showerhead optimisation; OpenFOAM; Dimensionless numbers</w:t>
      </w:r>
    </w:p>
    <w:p/>
    <w:p>
      <w:pPr>
        <w:spacing w:before="240" w:after="80"/>
      </w:pPr>
      <w:r>
        <w:rPr>
          <w:rFonts w:ascii="Times New Roman" w:hAnsi="Times New Roman"/>
          <w:b/>
          <w:i w:val="0"/>
          <w:color w:val="003366"/>
          <w:sz w:val="28"/>
        </w:rPr>
        <w:t>1. Introduction</w:t>
      </w:r>
    </w:p>
    <w:p>
      <w:pPr>
        <w:spacing w:after="120"/>
        <w:jc w:val="both"/>
      </w:pPr>
      <w:r>
        <w:rPr>
          <w:rFonts w:ascii="Times New Roman" w:hAnsi="Times New Roman"/>
          <w:b w:val="0"/>
          <w:i w:val="0"/>
          <w:sz w:val="22"/>
        </w:rPr>
        <w:t>ALD</w:t>
      </w:r>
      <w:r>
        <w:rPr>
          <w:rFonts w:ascii="Times New Roman" w:hAnsi="Times New Roman"/>
          <w:b w:val="0"/>
          <w:i w:val="0"/>
          <w:sz w:val="22"/>
        </w:rPr>
        <w:t xml:space="preserve"> is the enabling deposition technology for advanced semiconductor nodes below 5 nanometres, solid-state battery electrolytes, and flexible electronics [1,2]. Its defining feature is self-limitation: each half-cycle saturates the wafer surface with exactly one monolayer of precursor, then a co-reactant completes the reaction. This mechanism delivers atomic-precision thickness control, but only if the precursor gas — Trimethylaluminium (</w:t>
      </w:r>
      <w:r>
        <w:rPr>
          <w:rFonts w:ascii="Times New Roman" w:hAnsi="Times New Roman"/>
          <w:b w:val="0"/>
          <w:i w:val="0"/>
          <w:sz w:val="22"/>
        </w:rPr>
        <w:t>TMA</w:t>
      </w:r>
      <w:r>
        <w:rPr>
          <w:rFonts w:ascii="Times New Roman" w:hAnsi="Times New Roman"/>
          <w:b w:val="0"/>
          <w:i w:val="0"/>
          <w:sz w:val="22"/>
        </w:rPr>
        <w:t>, Al(CH3)3) for aluminium oxide films — arrives uniformly at every point on the wafer in every cycle. Non-uniformity directly causes spatially varying film thickness, a device-killing defect at the nanoscale.</w:t>
      </w:r>
    </w:p>
    <w:p>
      <w:pPr>
        <w:spacing w:after="120"/>
        <w:jc w:val="both"/>
      </w:pPr>
      <w:r>
        <w:rPr>
          <w:rFonts w:ascii="Times New Roman" w:hAnsi="Times New Roman"/>
          <w:b w:val="0"/>
          <w:i w:val="0"/>
          <w:sz w:val="22"/>
        </w:rPr>
        <w:t xml:space="preserve">The showerhead — a perforated faceplate through which precursor gas is injected — is the component that determines this uniformity. Its geometry (nozzle diameter, spacing pattern, plenum shape, internal features) controls the three-dimensional gas flow field that delivers precursor to the wafer. Despite its critical importance, showerhead design today remains largely manual: an engineer proposes a geometry, runs a </w:t>
      </w:r>
      <w:r>
        <w:rPr>
          <w:rFonts w:ascii="Times New Roman" w:hAnsi="Times New Roman"/>
          <w:b w:val="0"/>
          <w:i w:val="0"/>
          <w:sz w:val="22"/>
        </w:rPr>
        <w:t>CFD</w:t>
      </w:r>
      <w:r>
        <w:rPr>
          <w:rFonts w:ascii="Times New Roman" w:hAnsi="Times New Roman"/>
          <w:b w:val="0"/>
          <w:i w:val="0"/>
          <w:sz w:val="22"/>
        </w:rPr>
        <w:t xml:space="preserve"> simulation (6–10 hours per design), analyses the result, and adjusts. This loop explores only a tiny fraction of the design space and is constrained to one topology family.</w:t>
      </w:r>
    </w:p>
    <w:p>
      <w:pPr>
        <w:spacing w:after="120"/>
        <w:jc w:val="both"/>
      </w:pPr>
      <w:r>
        <w:rPr>
          <w:rFonts w:ascii="Times New Roman" w:hAnsi="Times New Roman"/>
          <w:b w:val="0"/>
          <w:i w:val="0"/>
          <w:sz w:val="22"/>
        </w:rPr>
        <w:t>We present a dual-track surrogate framework. Track 1 (</w:t>
      </w:r>
      <w:r>
        <w:rPr>
          <w:rFonts w:ascii="Times New Roman" w:hAnsi="Times New Roman"/>
          <w:b w:val="0"/>
          <w:i w:val="0"/>
          <w:sz w:val="22"/>
        </w:rPr>
        <w:t>PCGM</w:t>
      </w:r>
      <w:r>
        <w:rPr>
          <w:rFonts w:ascii="Times New Roman" w:hAnsi="Times New Roman"/>
          <w:b w:val="0"/>
          <w:i w:val="0"/>
          <w:sz w:val="22"/>
        </w:rPr>
        <w:t>) provides efficient parametric search with physics guardrails. Track 2 (</w:t>
      </w:r>
      <w:r>
        <w:rPr>
          <w:rFonts w:ascii="Times New Roman" w:hAnsi="Times New Roman"/>
          <w:b w:val="0"/>
          <w:i w:val="0"/>
          <w:sz w:val="22"/>
        </w:rPr>
        <w:t>VICES</w:t>
      </w:r>
      <w:r>
        <w:rPr>
          <w:rFonts w:ascii="Times New Roman" w:hAnsi="Times New Roman"/>
          <w:b w:val="0"/>
          <w:i w:val="0"/>
          <w:sz w:val="22"/>
        </w:rPr>
        <w:t xml:space="preserve">) introduces topology-level search using </w:t>
      </w:r>
      <w:r>
        <w:rPr>
          <w:rFonts w:ascii="Times New Roman" w:hAnsi="Times New Roman"/>
          <w:b w:val="0"/>
          <w:i w:val="0"/>
          <w:sz w:val="22"/>
        </w:rPr>
        <w:t>CSG</w:t>
      </w:r>
      <w:r>
        <w:rPr>
          <w:rFonts w:ascii="Times New Roman" w:hAnsi="Times New Roman"/>
          <w:b w:val="0"/>
          <w:i w:val="0"/>
          <w:sz w:val="22"/>
        </w:rPr>
        <w:t>, exploring designs that Track 1 cannot represent. The framework uses 123 self-generated OpenFOAM reactingFoam simulations as training data — fully open-source and reproducible. All code is at https://github.com/Ranaam21/cfd-ald-app.</w:t>
      </w:r>
    </w:p>
    <w:p>
      <w:pPr>
        <w:spacing w:after="120"/>
        <w:jc w:val="both"/>
      </w:pPr>
      <w:r>
        <w:rPr>
          <w:rFonts w:ascii="Times New Roman" w:hAnsi="Times New Roman"/>
          <w:b w:val="0"/>
          <w:i w:val="0"/>
          <w:sz w:val="22"/>
        </w:rPr>
        <w:t>Principal contributions:</w:t>
      </w:r>
    </w:p>
    <w:p>
      <w:pPr>
        <w:pStyle w:val="ListBullet"/>
        <w:spacing w:after="60"/>
        <w:jc w:val="both"/>
      </w:pPr>
      <w:r>
        <w:rPr>
          <w:rFonts w:ascii="Times New Roman" w:hAnsi="Times New Roman"/>
          <w:b/>
          <w:i w:val="0"/>
          <w:sz w:val="22"/>
        </w:rPr>
        <w:t xml:space="preserve">Dual-track framework: </w:t>
      </w:r>
      <w:r>
        <w:rPr>
          <w:rFonts w:ascii="Times New Roman" w:hAnsi="Times New Roman"/>
          <w:b w:val="0"/>
          <w:i w:val="0"/>
          <w:sz w:val="22"/>
        </w:rPr>
        <w:t>first direct comparison of parametric (PCGM) and voxel-implicit CSG (VICES) geometry synthesis for ALD reactor design on identical physics.</w:t>
      </w:r>
    </w:p>
    <w:p>
      <w:pPr>
        <w:pStyle w:val="ListBullet"/>
        <w:spacing w:after="60"/>
        <w:jc w:val="both"/>
      </w:pPr>
      <w:r>
        <w:rPr>
          <w:rFonts w:ascii="Times New Roman" w:hAnsi="Times New Roman"/>
          <w:b/>
          <w:i w:val="0"/>
          <w:sz w:val="22"/>
        </w:rPr>
        <w:t xml:space="preserve">Catalan-number characterisation: </w:t>
      </w:r>
      <w:r>
        <w:rPr>
          <w:rFonts w:ascii="Times New Roman" w:hAnsi="Times New Roman"/>
          <w:b w:val="0"/>
          <w:i w:val="0"/>
          <w:sz w:val="22"/>
        </w:rPr>
        <w:t>for n primitive shapes, C(n-1) distinct CSG binary tree topologies exist (e.g. 6 primitives → C(5) = 42 topologies), providing a rigorous bound on topology search complexity.</w:t>
      </w:r>
    </w:p>
    <w:p>
      <w:pPr>
        <w:pStyle w:val="ListBullet"/>
        <w:spacing w:after="60"/>
        <w:jc w:val="both"/>
      </w:pPr>
      <w:r>
        <w:rPr>
          <w:rFonts w:ascii="Times New Roman" w:hAnsi="Times New Roman"/>
          <w:b/>
          <w:i w:val="0"/>
          <w:sz w:val="22"/>
        </w:rPr>
        <w:t xml:space="preserve">Multi-head GNN with guardrails: </w:t>
      </w:r>
      <w:r>
        <w:rPr>
          <w:rFonts w:ascii="Times New Roman" w:hAnsi="Times New Roman"/>
          <w:b w:val="0"/>
          <w:i w:val="0"/>
          <w:sz w:val="22"/>
        </w:rPr>
        <w:t>15-layer MeshGraphNet with three output heads and an eleven-parameter dimensionless-number guardrail engine.</w:t>
      </w:r>
    </w:p>
    <w:p>
      <w:pPr>
        <w:pStyle w:val="ListBullet"/>
        <w:spacing w:after="60"/>
        <w:jc w:val="both"/>
      </w:pPr>
      <w:r>
        <w:rPr>
          <w:rFonts w:ascii="Times New Roman" w:hAnsi="Times New Roman"/>
          <w:b/>
          <w:i w:val="0"/>
          <w:sz w:val="22"/>
        </w:rPr>
        <w:t xml:space="preserve">Multi-fidelity KPI surrogate: </w:t>
      </w:r>
      <w:r>
        <w:rPr>
          <w:rFonts w:ascii="Times New Roman" w:hAnsi="Times New Roman"/>
          <w:b w:val="0"/>
          <w:i w:val="0"/>
          <w:sz w:val="22"/>
        </w:rPr>
        <w:t>5-fold cross-validated MLP achieving OOF Spearman rho = 0.947 on 120 cases.</w:t>
      </w:r>
    </w:p>
    <w:p>
      <w:pPr>
        <w:pStyle w:val="ListBullet"/>
        <w:spacing w:after="60"/>
        <w:jc w:val="both"/>
      </w:pPr>
      <w:r>
        <w:rPr>
          <w:rFonts w:ascii="Times New Roman" w:hAnsi="Times New Roman"/>
          <w:b/>
          <w:i w:val="0"/>
          <w:sz w:val="22"/>
        </w:rPr>
        <w:t xml:space="preserve">Track 2 topology discovery: </w:t>
      </w:r>
      <w:r>
        <w:rPr>
          <w:rFonts w:ascii="Times New Roman" w:hAnsi="Times New Roman"/>
          <w:b w:val="0"/>
          <w:i w:val="0"/>
          <w:sz w:val="22"/>
        </w:rPr>
        <w:t>annular-ring design achieves TMA-UI = 0.792 vs Track 1 maximum of 0.344 (+130%), quantifying the performance gain from topology-level search.</w:t>
      </w:r>
    </w:p>
    <w:p>
      <w:pPr>
        <w:spacing w:before="240" w:after="80"/>
      </w:pPr>
      <w:r>
        <w:rPr>
          <w:rFonts w:ascii="Times New Roman" w:hAnsi="Times New Roman"/>
          <w:b/>
          <w:i w:val="0"/>
          <w:color w:val="003366"/>
          <w:sz w:val="28"/>
        </w:rPr>
        <w:t>2. Background and Related Work</w:t>
      </w:r>
    </w:p>
    <w:p>
      <w:pPr>
        <w:spacing w:before="240" w:after="80"/>
      </w:pPr>
      <w:r>
        <w:rPr>
          <w:rFonts w:ascii="Times New Roman" w:hAnsi="Times New Roman"/>
          <w:b/>
          <w:i w:val="0"/>
          <w:color w:val="005082"/>
          <w:sz w:val="24"/>
        </w:rPr>
        <w:t>2.1 ALD Reactor Modelling</w:t>
      </w:r>
    </w:p>
    <w:p>
      <w:pPr>
        <w:spacing w:after="120"/>
        <w:jc w:val="both"/>
      </w:pPr>
      <w:r>
        <w:rPr>
          <w:rFonts w:ascii="Times New Roman" w:hAnsi="Times New Roman"/>
          <w:b w:val="0"/>
          <w:i w:val="0"/>
          <w:sz w:val="22"/>
        </w:rPr>
        <w:t xml:space="preserve">Computational modelling of </w:t>
      </w:r>
      <w:r>
        <w:rPr>
          <w:rFonts w:ascii="Times New Roman" w:hAnsi="Times New Roman"/>
          <w:b w:val="0"/>
          <w:i w:val="0"/>
          <w:sz w:val="22"/>
        </w:rPr>
        <w:t>ALD</w:t>
      </w:r>
      <w:r>
        <w:rPr>
          <w:rFonts w:ascii="Times New Roman" w:hAnsi="Times New Roman"/>
          <w:b w:val="0"/>
          <w:i w:val="0"/>
          <w:sz w:val="22"/>
        </w:rPr>
        <w:t xml:space="preserve"> reactors has been studied extensively. Granneman et al. [1] and Cremers et al. [2] established that precursor distribution uniformity directly controls film quality. Pan et al. [3] developed multiscale </w:t>
      </w:r>
      <w:r>
        <w:rPr>
          <w:rFonts w:ascii="Times New Roman" w:hAnsi="Times New Roman"/>
          <w:b w:val="0"/>
          <w:i w:val="0"/>
          <w:sz w:val="22"/>
        </w:rPr>
        <w:t>CFD</w:t>
      </w:r>
      <w:r>
        <w:rPr>
          <w:rFonts w:ascii="Times New Roman" w:hAnsi="Times New Roman"/>
          <w:b w:val="0"/>
          <w:i w:val="0"/>
          <w:sz w:val="22"/>
        </w:rPr>
        <w:t xml:space="preserve"> models coupling gas-phase transport with surface kinetics. The Argonne aldFoam solver [4] provides </w:t>
      </w:r>
      <w:r>
        <w:rPr>
          <w:rFonts w:ascii="Times New Roman" w:hAnsi="Times New Roman"/>
          <w:b w:val="0"/>
          <w:i w:val="0"/>
          <w:sz w:val="22"/>
        </w:rPr>
        <w:t>ALD</w:t>
      </w:r>
      <w:r>
        <w:rPr>
          <w:rFonts w:ascii="Times New Roman" w:hAnsi="Times New Roman"/>
          <w:b w:val="0"/>
          <w:i w:val="0"/>
          <w:sz w:val="22"/>
        </w:rPr>
        <w:t>-specific reactive transport within OpenFOAM. We use the standard reactingFoam solver [5] — part of the openly available OpenFOAM framework — which handles flow, heat, species transport, and turbulence without custom compilation, making our 123-case dataset fully reproducible.</w:t>
      </w:r>
    </w:p>
    <w:p>
      <w:pPr>
        <w:spacing w:before="240" w:after="80"/>
      </w:pPr>
      <w:r>
        <w:rPr>
          <w:rFonts w:ascii="Times New Roman" w:hAnsi="Times New Roman"/>
          <w:b/>
          <w:i w:val="0"/>
          <w:color w:val="005082"/>
          <w:sz w:val="24"/>
        </w:rPr>
        <w:t>2.2 GNN Surrogates for CFD</w:t>
      </w:r>
    </w:p>
    <w:p>
      <w:pPr>
        <w:spacing w:after="120"/>
        <w:jc w:val="both"/>
      </w:pPr>
      <w:r>
        <w:rPr>
          <w:rFonts w:ascii="Times New Roman" w:hAnsi="Times New Roman"/>
          <w:b w:val="0"/>
          <w:i w:val="0"/>
          <w:sz w:val="22"/>
        </w:rPr>
        <w:t xml:space="preserve">GNNs have emerged as the leading architecture for </w:t>
      </w:r>
      <w:r>
        <w:rPr>
          <w:rFonts w:ascii="Times New Roman" w:hAnsi="Times New Roman"/>
          <w:b w:val="0"/>
          <w:i w:val="0"/>
          <w:sz w:val="22"/>
        </w:rPr>
        <w:t>CFD</w:t>
      </w:r>
      <w:r>
        <w:rPr>
          <w:rFonts w:ascii="Times New Roman" w:hAnsi="Times New Roman"/>
          <w:b w:val="0"/>
          <w:i w:val="0"/>
          <w:sz w:val="22"/>
        </w:rPr>
        <w:t xml:space="preserve"> surrogates on unstructured meshes and point clouds. Pfaff et al. [6] introduced MeshGraphNet — a message-passing </w:t>
      </w:r>
      <w:r>
        <w:rPr>
          <w:rFonts w:ascii="Times New Roman" w:hAnsi="Times New Roman"/>
          <w:b w:val="0"/>
          <w:i w:val="0"/>
          <w:sz w:val="22"/>
        </w:rPr>
        <w:t>GNN</w:t>
      </w:r>
      <w:r>
        <w:rPr>
          <w:rFonts w:ascii="Times New Roman" w:hAnsi="Times New Roman"/>
          <w:b w:val="0"/>
          <w:i w:val="0"/>
          <w:sz w:val="22"/>
        </w:rPr>
        <w:t xml:space="preserve"> that operates directly on simulation meshes. Bonnet et al. [7] released AirfRANS, a benchmark dataset of Reynolds-Averaged Navier-Stokes (</w:t>
      </w:r>
      <w:r>
        <w:rPr>
          <w:rFonts w:ascii="Times New Roman" w:hAnsi="Times New Roman"/>
          <w:b/>
          <w:i w:val="0"/>
          <w:sz w:val="22"/>
        </w:rPr>
        <w:t>RANS</w:t>
      </w:r>
      <w:r>
        <w:rPr>
          <w:rFonts w:ascii="Times New Roman" w:hAnsi="Times New Roman"/>
          <w:b w:val="0"/>
          <w:i w:val="0"/>
          <w:sz w:val="22"/>
        </w:rPr>
        <w:t xml:space="preserve">) solutions used for </w:t>
      </w:r>
      <w:r>
        <w:rPr>
          <w:rFonts w:ascii="Times New Roman" w:hAnsi="Times New Roman"/>
          <w:b w:val="0"/>
          <w:i w:val="0"/>
          <w:sz w:val="22"/>
        </w:rPr>
        <w:t>GNN</w:t>
      </w:r>
      <w:r>
        <w:rPr>
          <w:rFonts w:ascii="Times New Roman" w:hAnsi="Times New Roman"/>
          <w:b w:val="0"/>
          <w:i w:val="0"/>
          <w:sz w:val="22"/>
        </w:rPr>
        <w:t xml:space="preserve"> pretraining. Our MultiHeadMGN extends MeshGraphNet with three independent decoder heads and LayerNorm regularisation, implemented in PyTorch Geometric (PyG) [8].</w:t>
      </w:r>
    </w:p>
    <w:p>
      <w:pPr>
        <w:spacing w:before="240" w:after="80"/>
      </w:pPr>
      <w:r>
        <w:rPr>
          <w:rFonts w:ascii="Times New Roman" w:hAnsi="Times New Roman"/>
          <w:b/>
          <w:i w:val="0"/>
          <w:color w:val="005082"/>
          <w:sz w:val="24"/>
        </w:rPr>
        <w:t>2.3 CSG Geometry Synthesis and SDF</w:t>
      </w:r>
    </w:p>
    <w:p>
      <w:pPr>
        <w:spacing w:after="120"/>
        <w:jc w:val="both"/>
      </w:pPr>
      <w:r>
        <w:rPr>
          <w:rFonts w:ascii="Times New Roman" w:hAnsi="Times New Roman"/>
          <w:b w:val="0"/>
          <w:i w:val="0"/>
          <w:sz w:val="22"/>
        </w:rPr>
        <w:t>CSG</w:t>
      </w:r>
      <w:r>
        <w:rPr>
          <w:rFonts w:ascii="Times New Roman" w:hAnsi="Times New Roman"/>
          <w:b w:val="0"/>
          <w:i w:val="0"/>
          <w:sz w:val="22"/>
        </w:rPr>
        <w:t xml:space="preserve"> builds complex shapes from primitives (cylinders, boxes, cones, spheres) via boolean operations: union (combine), subtract (cut), intersect (overlap). When shapes are represented as Signed Distance Fields (</w:t>
      </w:r>
      <w:r>
        <w:rPr>
          <w:rFonts w:ascii="Times New Roman" w:hAnsi="Times New Roman"/>
          <w:b w:val="0"/>
          <w:i w:val="0"/>
          <w:sz w:val="22"/>
        </w:rPr>
        <w:t>SDF</w:t>
      </w:r>
      <w:r>
        <w:rPr>
          <w:rFonts w:ascii="Times New Roman" w:hAnsi="Times New Roman"/>
          <w:b w:val="0"/>
          <w:i w:val="0"/>
          <w:sz w:val="22"/>
        </w:rPr>
        <w:t xml:space="preserve">) — scalar functions returning the signed distance to the nearest surface at any point in space — boolean operations reduce to elementwise arithmetic: union = min(f_A, f_B), subtract = max(f_A, -f_B), intersect = max(f_A, f_B). This approach was pioneered in computational engineering by LEAP71 with their PicoGK toolkit [9]. Our </w:t>
      </w:r>
      <w:r>
        <w:rPr>
          <w:rFonts w:ascii="Times New Roman" w:hAnsi="Times New Roman"/>
          <w:b w:val="0"/>
          <w:i w:val="0"/>
          <w:sz w:val="22"/>
        </w:rPr>
        <w:t>VICES</w:t>
      </w:r>
      <w:r>
        <w:rPr>
          <w:rFonts w:ascii="Times New Roman" w:hAnsi="Times New Roman"/>
          <w:b w:val="0"/>
          <w:i w:val="0"/>
          <w:sz w:val="22"/>
        </w:rPr>
        <w:t xml:space="preserve"> implementation builds the same </w:t>
      </w:r>
      <w:r>
        <w:rPr>
          <w:rFonts w:ascii="Times New Roman" w:hAnsi="Times New Roman"/>
          <w:b w:val="0"/>
          <w:i w:val="0"/>
          <w:sz w:val="22"/>
        </w:rPr>
        <w:t>SDF</w:t>
      </w:r>
      <w:r>
        <w:rPr>
          <w:rFonts w:ascii="Times New Roman" w:hAnsi="Times New Roman"/>
          <w:b w:val="0"/>
          <w:i w:val="0"/>
          <w:sz w:val="22"/>
        </w:rPr>
        <w:t>/</w:t>
      </w:r>
      <w:r>
        <w:rPr>
          <w:rFonts w:ascii="Times New Roman" w:hAnsi="Times New Roman"/>
          <w:b w:val="0"/>
          <w:i w:val="0"/>
          <w:sz w:val="22"/>
        </w:rPr>
        <w:t>CSG</w:t>
      </w:r>
      <w:r>
        <w:rPr>
          <w:rFonts w:ascii="Times New Roman" w:hAnsi="Times New Roman"/>
          <w:b w:val="0"/>
          <w:i w:val="0"/>
          <w:sz w:val="22"/>
        </w:rPr>
        <w:t xml:space="preserve"> pipeline natively in Python and NumPy, requiring no external geometry kernel and enabling direct integration with the PyTorch-based ML surrogate.</w:t>
      </w:r>
    </w:p>
    <w:p>
      <w:pPr>
        <w:spacing w:before="240" w:after="80"/>
      </w:pPr>
      <w:r>
        <w:rPr>
          <w:rFonts w:ascii="Times New Roman" w:hAnsi="Times New Roman"/>
          <w:b/>
          <w:i w:val="0"/>
          <w:color w:val="005082"/>
          <w:sz w:val="24"/>
        </w:rPr>
        <w:t>2.4 Marching Cubes Triangulation</w:t>
      </w:r>
    </w:p>
    <w:p>
      <w:pPr>
        <w:spacing w:after="120"/>
        <w:jc w:val="both"/>
      </w:pPr>
      <w:r>
        <w:rPr>
          <w:rFonts w:ascii="Times New Roman" w:hAnsi="Times New Roman"/>
          <w:b w:val="0"/>
          <w:i w:val="0"/>
          <w:sz w:val="22"/>
        </w:rPr>
        <w:t xml:space="preserve">Lorensen and Cline's Marching Cubes algorithm [10] converts a volumetric </w:t>
      </w:r>
      <w:r>
        <w:rPr>
          <w:rFonts w:ascii="Times New Roman" w:hAnsi="Times New Roman"/>
          <w:b w:val="0"/>
          <w:i w:val="0"/>
          <w:sz w:val="22"/>
        </w:rPr>
        <w:t>SDF</w:t>
      </w:r>
      <w:r>
        <w:rPr>
          <w:rFonts w:ascii="Times New Roman" w:hAnsi="Times New Roman"/>
          <w:b w:val="0"/>
          <w:i w:val="0"/>
          <w:sz w:val="22"/>
        </w:rPr>
        <w:t xml:space="preserve"> to a triangle mesh. Each 2×2×2 cube of voxels has 2^8 = 256 configurations, reducing to 15 unique surface topologies by symmetry. A precomputed lookup table maps each configuration to triangles at the </w:t>
      </w:r>
      <w:r>
        <w:rPr>
          <w:rFonts w:ascii="Times New Roman" w:hAnsi="Times New Roman"/>
          <w:b w:val="0"/>
          <w:i w:val="0"/>
          <w:sz w:val="22"/>
        </w:rPr>
        <w:t>SDF</w:t>
      </w:r>
      <w:r>
        <w:rPr>
          <w:rFonts w:ascii="Times New Roman" w:hAnsi="Times New Roman"/>
          <w:b w:val="0"/>
          <w:i w:val="0"/>
          <w:sz w:val="22"/>
        </w:rPr>
        <w:t xml:space="preserve"> = 0 iso-surface. We use the PyMCubes library [11].</w:t>
      </w:r>
    </w:p>
    <w:p>
      <w:pPr>
        <w:spacing w:before="240" w:after="80"/>
      </w:pPr>
      <w:r>
        <w:rPr>
          <w:rFonts w:ascii="Times New Roman" w:hAnsi="Times New Roman"/>
          <w:b/>
          <w:i w:val="0"/>
          <w:color w:val="003366"/>
          <w:sz w:val="28"/>
        </w:rPr>
        <w:t>3. Framework Architecture</w:t>
      </w:r>
    </w:p>
    <w:p>
      <w:pPr>
        <w:spacing w:after="120"/>
        <w:jc w:val="both"/>
      </w:pPr>
      <w:r>
        <w:rPr>
          <w:rFonts w:ascii="Times New Roman" w:hAnsi="Times New Roman"/>
          <w:b w:val="0"/>
          <w:i w:val="0"/>
          <w:sz w:val="22"/>
        </w:rPr>
        <w:t xml:space="preserve">Figure 1 shows the complete eight-module pipeline. Both tracks share the same physics calculator, data standardisation, </w:t>
      </w:r>
      <w:r>
        <w:rPr>
          <w:rFonts w:ascii="Times New Roman" w:hAnsi="Times New Roman"/>
          <w:b w:val="0"/>
          <w:i w:val="0"/>
          <w:sz w:val="22"/>
        </w:rPr>
        <w:t>GNN</w:t>
      </w:r>
      <w:r>
        <w:rPr>
          <w:rFonts w:ascii="Times New Roman" w:hAnsi="Times New Roman"/>
          <w:b w:val="0"/>
          <w:i w:val="0"/>
          <w:sz w:val="22"/>
        </w:rPr>
        <w:t xml:space="preserve"> surrogate, guardrail engine, and optimizer — differing only in Module 1 (geometry creation). This design enables controlled, direct comparison between parametric and topological geometry synthesis on identical physics.</w:t>
      </w:r>
    </w:p>
    <w:p>
      <w:pPr>
        <w:jc w:val="center"/>
      </w:pPr>
      <w:r>
        <w:drawing>
          <wp:inline xmlns:a="http://schemas.openxmlformats.org/drawingml/2006/main" xmlns:pic="http://schemas.openxmlformats.org/drawingml/2006/picture">
            <wp:extent cx="5486400" cy="4301811"/>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486400" cy="4301811"/>
                    </a:xfrm>
                    <a:prstGeom prst="rect"/>
                  </pic:spPr>
                </pic:pic>
              </a:graphicData>
            </a:graphic>
          </wp:inline>
        </w:drawing>
      </w:r>
    </w:p>
    <w:p>
      <w:pPr>
        <w:spacing w:before="60" w:after="240"/>
        <w:jc w:val="center"/>
      </w:pPr>
      <w:r>
        <w:rPr>
          <w:rFonts w:ascii="Times New Roman" w:hAnsi="Times New Roman"/>
          <w:b w:val="0"/>
          <w:i/>
          <w:sz w:val="18"/>
        </w:rPr>
        <w:t>Figure 1 — Dual-track framework pipeline. Track 1 (PCGM, blue) and Track 2 (VICES, orange) differ only in geometry creation (Module 1); all downstream modules are shared. The guardrail engine (Module 5) routes failing designs back for parameter adjustment before optimizer evaluation.</w:t>
      </w:r>
    </w:p>
    <w:p>
      <w:pPr>
        <w:spacing w:after="120"/>
        <w:jc w:val="both"/>
      </w:pPr>
      <w:r>
        <w:rPr>
          <w:rFonts w:ascii="Times New Roman" w:hAnsi="Times New Roman"/>
          <w:b w:val="0"/>
          <w:i w:val="0"/>
          <w:sz w:val="22"/>
        </w:rPr>
        <w:t>The eight modules and their roles:</w:t>
      </w:r>
    </w:p>
    <w:p>
      <w:pPr>
        <w:pStyle w:val="ListBullet"/>
        <w:spacing w:after="60"/>
        <w:jc w:val="both"/>
      </w:pPr>
      <w:r>
        <w:rPr>
          <w:rFonts w:ascii="Times New Roman" w:hAnsi="Times New Roman"/>
          <w:b/>
          <w:i w:val="0"/>
          <w:sz w:val="22"/>
        </w:rPr>
        <w:t xml:space="preserve">Module 0 — Requirements and Guardrails: </w:t>
      </w:r>
      <w:r>
        <w:rPr>
          <w:rFonts w:ascii="Times New Roman" w:hAnsi="Times New Roman"/>
          <w:b w:val="0"/>
          <w:i w:val="0"/>
          <w:sz w:val="22"/>
        </w:rPr>
        <w:t>computes eleven dimensionless numbers and enforces user-settable bounds before any geometry is generated.</w:t>
      </w:r>
    </w:p>
    <w:p>
      <w:pPr>
        <w:pStyle w:val="ListBullet"/>
        <w:spacing w:after="60"/>
        <w:jc w:val="both"/>
      </w:pPr>
      <w:r>
        <w:rPr>
          <w:rFonts w:ascii="Times New Roman" w:hAnsi="Times New Roman"/>
          <w:b/>
          <w:i w:val="0"/>
          <w:sz w:val="22"/>
        </w:rPr>
        <w:t xml:space="preserve">Module 1A — PCGM: </w:t>
      </w:r>
      <w:r>
        <w:rPr>
          <w:rFonts w:ascii="Times New Roman" w:hAnsi="Times New Roman"/>
          <w:b w:val="0"/>
          <w:i w:val="0"/>
          <w:sz w:val="22"/>
        </w:rPr>
        <w:t>generates a hex nozzle array point cloud from five parameters (D, pitch/D, Q, H, t).</w:t>
      </w:r>
    </w:p>
    <w:p>
      <w:pPr>
        <w:pStyle w:val="ListBullet"/>
        <w:spacing w:after="60"/>
        <w:jc w:val="both"/>
      </w:pPr>
      <w:r>
        <w:rPr>
          <w:rFonts w:ascii="Times New Roman" w:hAnsi="Times New Roman"/>
          <w:b/>
          <w:i w:val="0"/>
          <w:sz w:val="22"/>
        </w:rPr>
        <w:t xml:space="preserve">Module 1B — VICES: </w:t>
      </w:r>
      <w:r>
        <w:rPr>
          <w:rFonts w:ascii="Times New Roman" w:hAnsi="Times New Roman"/>
          <w:b w:val="0"/>
          <w:i w:val="0"/>
          <w:sz w:val="22"/>
        </w:rPr>
        <w:t>evaluates a CSG/SDF tree on a 64^3 voxel grid, applies Marching Cubes, and samples an 80,000-point cloud.</w:t>
      </w:r>
    </w:p>
    <w:p>
      <w:pPr>
        <w:pStyle w:val="ListBullet"/>
        <w:spacing w:after="60"/>
        <w:jc w:val="both"/>
      </w:pPr>
      <w:r>
        <w:rPr>
          <w:rFonts w:ascii="Times New Roman" w:hAnsi="Times New Roman"/>
          <w:b/>
          <w:i w:val="0"/>
          <w:sz w:val="22"/>
        </w:rPr>
        <w:t xml:space="preserve">Modules 2+3 — Data Layer and Standardisation: </w:t>
      </w:r>
      <w:r>
        <w:rPr>
          <w:rFonts w:ascii="Times New Roman" w:hAnsi="Times New Roman"/>
          <w:b w:val="0"/>
          <w:i w:val="0"/>
          <w:sz w:val="22"/>
        </w:rPr>
        <w:t>123 OpenFOAM cases → HDF5 with canonical keys and embedded dimensionless features.</w:t>
      </w:r>
    </w:p>
    <w:p>
      <w:pPr>
        <w:pStyle w:val="ListBullet"/>
        <w:spacing w:after="60"/>
        <w:jc w:val="both"/>
      </w:pPr>
      <w:r>
        <w:rPr>
          <w:rFonts w:ascii="Times New Roman" w:hAnsi="Times New Roman"/>
          <w:b/>
          <w:i w:val="0"/>
          <w:sz w:val="22"/>
        </w:rPr>
        <w:t xml:space="preserve">Module 4 — GNN Surrogate: </w:t>
      </w:r>
      <w:r>
        <w:rPr>
          <w:rFonts w:ascii="Times New Roman" w:hAnsi="Times New Roman"/>
          <w:b w:val="0"/>
          <w:i w:val="0"/>
          <w:sz w:val="22"/>
        </w:rPr>
        <w:t>shared encoder + 15 MGNProcessor layers + three decoder heads (flow / heat / species).</w:t>
      </w:r>
    </w:p>
    <w:p>
      <w:pPr>
        <w:pStyle w:val="ListBullet"/>
        <w:spacing w:after="60"/>
        <w:jc w:val="both"/>
      </w:pPr>
      <w:r>
        <w:rPr>
          <w:rFonts w:ascii="Times New Roman" w:hAnsi="Times New Roman"/>
          <w:b/>
          <w:i w:val="0"/>
          <w:sz w:val="22"/>
        </w:rPr>
        <w:t xml:space="preserve">Module 5 — Guardrail Engine: </w:t>
      </w:r>
      <w:r>
        <w:rPr>
          <w:rFonts w:ascii="Times New Roman" w:hAnsi="Times New Roman"/>
          <w:b w:val="0"/>
          <w:i w:val="0"/>
          <w:sz w:val="22"/>
        </w:rPr>
        <w:t>regime checks, confidence scoring, reason codes.</w:t>
      </w:r>
    </w:p>
    <w:p>
      <w:pPr>
        <w:pStyle w:val="ListBullet"/>
        <w:spacing w:after="60"/>
        <w:jc w:val="both"/>
      </w:pPr>
      <w:r>
        <w:rPr>
          <w:rFonts w:ascii="Times New Roman" w:hAnsi="Times New Roman"/>
          <w:b/>
          <w:i w:val="0"/>
          <w:sz w:val="22"/>
        </w:rPr>
        <w:t xml:space="preserve">Module 6 — Optimizer: </w:t>
      </w:r>
      <w:r>
        <w:rPr>
          <w:rFonts w:ascii="Times New Roman" w:hAnsi="Times New Roman"/>
          <w:b w:val="0"/>
          <w:i w:val="0"/>
          <w:sz w:val="22"/>
        </w:rPr>
        <w:t>Track 1: BoTorch Pareto over continuous parameters; Track 2: random topology search over 1,200 candidates.</w:t>
      </w:r>
    </w:p>
    <w:p>
      <w:pPr>
        <w:pStyle w:val="ListBullet"/>
        <w:spacing w:after="60"/>
        <w:jc w:val="both"/>
      </w:pPr>
      <w:r>
        <w:rPr>
          <w:rFonts w:ascii="Times New Roman" w:hAnsi="Times New Roman"/>
          <w:b/>
          <w:i w:val="0"/>
          <w:sz w:val="22"/>
        </w:rPr>
        <w:t xml:space="preserve">Module 7 — Verification: </w:t>
      </w:r>
      <w:r>
        <w:rPr>
          <w:rFonts w:ascii="Times New Roman" w:hAnsi="Times New Roman"/>
          <w:b w:val="0"/>
          <w:i w:val="0"/>
          <w:sz w:val="22"/>
        </w:rPr>
        <w:t>targeted CFD on top Pareto designs, surrogate finetuning.</w:t>
      </w:r>
    </w:p>
    <w:p>
      <w:pPr>
        <w:spacing w:before="240" w:after="80"/>
      </w:pPr>
      <w:r>
        <w:rPr>
          <w:rFonts w:ascii="Times New Roman" w:hAnsi="Times New Roman"/>
          <w:b/>
          <w:i w:val="0"/>
          <w:color w:val="003366"/>
          <w:sz w:val="28"/>
        </w:rPr>
        <w:t>4. Physics Guardrail Engine</w:t>
      </w:r>
    </w:p>
    <w:p>
      <w:pPr>
        <w:spacing w:after="120"/>
        <w:jc w:val="both"/>
      </w:pPr>
      <w:r>
        <w:rPr>
          <w:rFonts w:ascii="Times New Roman" w:hAnsi="Times New Roman"/>
          <w:b w:val="0"/>
          <w:i w:val="0"/>
          <w:sz w:val="22"/>
        </w:rPr>
        <w:t>A key novelty is the explicit physics guardrail engine that validates every design before and after surrogate evaluation. We distinguish two tiers of dimensionless numbers with distinct roles in the pipeline:</w:t>
      </w:r>
    </w:p>
    <w:p>
      <w:pPr>
        <w:pStyle w:val="ListBullet"/>
        <w:spacing w:after="60"/>
        <w:jc w:val="both"/>
      </w:pPr>
      <w:r>
        <w:rPr>
          <w:rFonts w:ascii="Times New Roman" w:hAnsi="Times New Roman"/>
          <w:b/>
          <w:i w:val="0"/>
          <w:sz w:val="22"/>
        </w:rPr>
        <w:t xml:space="preserve">Tier 1 — Design constraints (Re, Ma, Eu, Da, Sc, Pe_m): </w:t>
      </w:r>
      <w:r>
        <w:rPr>
          <w:rFonts w:ascii="Times New Roman" w:hAnsi="Times New Roman"/>
          <w:b w:val="0"/>
          <w:i w:val="0"/>
          <w:sz w:val="22"/>
        </w:rPr>
        <w:t>computed directly from design parameters before the surrogate runs. Violation means the design falls outside the surrogate's training regime — predictions are unreliable. These six numbers block or flag the design before inference.</w:t>
      </w:r>
    </w:p>
    <w:p>
      <w:pPr>
        <w:pStyle w:val="ListBullet"/>
        <w:spacing w:after="60"/>
        <w:jc w:val="both"/>
      </w:pPr>
      <w:r>
        <w:rPr>
          <w:rFonts w:ascii="Times New Roman" w:hAnsi="Times New Roman"/>
          <w:b/>
          <w:i w:val="0"/>
          <w:sz w:val="22"/>
        </w:rPr>
        <w:t xml:space="preserve">Tier 2 — Physical consistency validators (Pr, Pe_h, Nu, Bi, Sh): </w:t>
      </w:r>
      <w:r>
        <w:rPr>
          <w:rFonts w:ascii="Times New Roman" w:hAnsi="Times New Roman"/>
          <w:b w:val="0"/>
          <w:i w:val="0"/>
          <w:sz w:val="22"/>
        </w:rPr>
        <w:t>validated after surrogate prediction using predicted field values. Violation does not block inference but flags the design for CFD refinement. These five numbers are either derived from the solution (Nu, Bi, Sh) or essentially fixed for a given gas mixture (Pr ≈ 0.71 for N₂, Pe_h = Re·Pr).</w:t>
      </w:r>
    </w:p>
    <w:p>
      <w:pPr>
        <w:spacing w:before="240" w:after="80"/>
      </w:pPr>
      <w:r>
        <w:rPr>
          <w:rFonts w:ascii="Times New Roman" w:hAnsi="Times New Roman"/>
          <w:b/>
          <w:i w:val="0"/>
          <w:color w:val="005082"/>
          <w:sz w:val="24"/>
        </w:rPr>
        <w:t>4.1 Tier 1 — Design Constraints</w:t>
      </w:r>
    </w:p>
    <w:p>
      <w:pPr>
        <w:spacing w:after="120"/>
        <w:jc w:val="both"/>
      </w:pPr>
      <w:r>
        <w:rPr>
          <w:rFonts w:ascii="Times New Roman" w:hAnsi="Times New Roman"/>
          <w:b w:val="0"/>
          <w:i w:val="0"/>
          <w:sz w:val="22"/>
        </w:rPr>
        <w:t>The following six numbers are evaluated before surrogate inference:</w:t>
      </w:r>
    </w:p>
    <w:p>
      <w:pPr>
        <w:spacing w:before="240" w:after="80"/>
      </w:pPr>
      <w:r>
        <w:rPr>
          <w:rFonts w:ascii="Times New Roman" w:hAnsi="Times New Roman"/>
          <w:b/>
          <w:i w:val="0"/>
          <w:color w:val="0064A0"/>
          <w:sz w:val="22"/>
        </w:rPr>
        <w:t>4.1a Momentum Transfer</w:t>
      </w:r>
    </w:p>
    <w:p>
      <w:pPr>
        <w:pStyle w:val="ListBullet"/>
        <w:spacing w:after="60"/>
        <w:jc w:val="both"/>
      </w:pPr>
      <w:r>
        <w:rPr>
          <w:rFonts w:ascii="Times New Roman" w:hAnsi="Times New Roman"/>
          <w:b/>
          <w:i w:val="0"/>
          <w:sz w:val="22"/>
        </w:rPr>
        <w:t xml:space="preserve">Reynolds Number Re = rho*V*D / mu: </w:t>
      </w:r>
      <w:r>
        <w:rPr>
          <w:rFonts w:ascii="Times New Roman" w:hAnsi="Times New Roman"/>
          <w:b w:val="0"/>
          <w:i w:val="0"/>
          <w:sz w:val="22"/>
        </w:rPr>
        <w:t>ratio of inertial to viscous forces. rho = gas density [kg/m^3], V = nozzle jet velocity [m/s], D = nozzle diameter [m], mu = dynamic viscosity [Pa.s]. ALD operates at Re &lt;&lt; 2300 (laminar). Guard: Re_max = 5,000.</w:t>
      </w:r>
    </w:p>
    <w:tbl>
      <w:tblPr>
        <w:tblLook w:firstColumn="1" w:firstRow="1" w:lastColumn="0" w:lastRow="0" w:noHBand="0" w:noVBand="1" w:val="04A0"/>
        <w:tblW w:type="pct" w:w="5000"/>
      </w:tblPr>
      <w:tblGrid>
        <w:gridCol w:w="8838"/>
      </w:tblGrid>
      <w:tr>
        <w:tc>
          <w:tcPr>
            <w:tcW w:type="dxa" w:w="8838"/>
            <w:shd w:val="clear" w:color="auto" w:fill="F2F3F4"/>
          </w:tcPr>
          <w:p>
            <w:pPr>
              <w:spacing w:before="80" w:after="80"/>
              <w:ind w:left="170"/>
            </w:pPr>
            <w:r>
              <w:rPr>
                <w:rFonts w:ascii="Times New Roman" w:hAnsi="Times New Roman"/>
                <w:b/>
                <w:i w:val="0"/>
                <w:color w:val="34495E"/>
                <w:sz w:val="20"/>
              </w:rPr>
              <w:t>Intuition — What does Re tell us about ALD flow?</w:t>
              <w:br/>
            </w:r>
            <w:r>
              <w:rPr>
                <w:rFonts w:ascii="Times New Roman" w:hAnsi="Times New Roman"/>
                <w:b w:val="0"/>
                <w:i/>
                <w:color w:val="2C3E50"/>
                <w:sz w:val="20"/>
              </w:rPr>
              <w:t>"Think of Re as asking: is the gas flowing smoothly like honey (low Re), or tumbling chaotically like river rapids (high Re)? ALD needs honey-flow. The surrogate was trained on honey-flow data — if Re climbs above 2,300, the surrogate is extrapolating into unknown turbulent territory, and its predictions become untrustworthy."</w:t>
            </w:r>
          </w:p>
        </w:tc>
      </w:tr>
    </w:tbl>
    <w:p>
      <w:pPr>
        <w:spacing w:after="120"/>
      </w:pPr>
    </w:p>
    <w:p>
      <w:pPr>
        <w:pStyle w:val="ListBullet"/>
        <w:spacing w:after="60"/>
        <w:jc w:val="both"/>
      </w:pPr>
      <w:r>
        <w:rPr>
          <w:rFonts w:ascii="Times New Roman" w:hAnsi="Times New Roman"/>
          <w:b/>
          <w:i w:val="0"/>
          <w:sz w:val="22"/>
        </w:rPr>
        <w:t xml:space="preserve">Mach Number Ma = V / a: </w:t>
      </w:r>
      <w:r>
        <w:rPr>
          <w:rFonts w:ascii="Times New Roman" w:hAnsi="Times New Roman"/>
          <w:b w:val="0"/>
          <w:i w:val="0"/>
          <w:sz w:val="22"/>
        </w:rPr>
        <w:t>ratio of flow speed V to speed of sound a [m/s]. Ma &gt; 0.3 triggers compressibility effects that invalidate the incompressible surrogate assumption. Guard: Ma_max = 0.3.</w:t>
      </w:r>
    </w:p>
    <w:p>
      <w:pPr>
        <w:pStyle w:val="ListBullet"/>
        <w:spacing w:after="60"/>
        <w:jc w:val="both"/>
      </w:pPr>
      <w:r>
        <w:rPr>
          <w:rFonts w:ascii="Times New Roman" w:hAnsi="Times New Roman"/>
          <w:b/>
          <w:i w:val="0"/>
          <w:sz w:val="22"/>
        </w:rPr>
        <w:t xml:space="preserve">Euler Number Eu = Delta_p / (0.5 * rho * V^2): </w:t>
      </w:r>
      <w:r>
        <w:rPr>
          <w:rFonts w:ascii="Times New Roman" w:hAnsi="Times New Roman"/>
          <w:b w:val="0"/>
          <w:i w:val="0"/>
          <w:sz w:val="22"/>
        </w:rPr>
        <w:t>dimensionless pressure drop. For ALD creeping flow (Re ~ 1–100), Eu naturally reaches 10^5–10^7 — this is physically correct, not an error, because jet velocities are tiny (~0.01 m/s) making dynamic pressure negligible. We also report absolute Delta_p [Pa] (target &lt; 500 Pa for ALD). Guard: Eu_max = 10^8.</w:t>
      </w:r>
    </w:p>
    <w:tbl>
      <w:tblPr>
        <w:tblLook w:firstColumn="1" w:firstRow="1" w:lastColumn="0" w:lastRow="0" w:noHBand="0" w:noVBand="1" w:val="04A0"/>
        <w:tblW w:type="pct" w:w="5000"/>
      </w:tblPr>
      <w:tblGrid>
        <w:gridCol w:w="8838"/>
      </w:tblGrid>
      <w:tr>
        <w:tc>
          <w:tcPr>
            <w:tcW w:type="dxa" w:w="8838"/>
            <w:shd w:val="clear" w:color="auto" w:fill="F2F3F4"/>
          </w:tcPr>
          <w:p>
            <w:pPr>
              <w:spacing w:before="80" w:after="80"/>
              <w:ind w:left="170"/>
            </w:pPr>
            <w:r>
              <w:rPr>
                <w:rFonts w:ascii="Times New Roman" w:hAnsi="Times New Roman"/>
                <w:b/>
                <w:i w:val="0"/>
                <w:color w:val="34495E"/>
                <w:sz w:val="20"/>
              </w:rPr>
              <w:t>Intuition — Why is a huge Eu number normal in ALD — and not a problem?</w:t>
              <w:br/>
            </w:r>
            <w:r>
              <w:rPr>
                <w:rFonts w:ascii="Times New Roman" w:hAnsi="Times New Roman"/>
                <w:b w:val="0"/>
                <w:i/>
                <w:color w:val="2C3E50"/>
                <w:sz w:val="20"/>
              </w:rPr>
              <w:t>"Eu compares pressure drop to the jet's kinetic punch (dynamic pressure). In ALD, jets move so slowly (~0.01 m/s) that their kinetic punch is almost nothing — like comparing the weight of a feather to pushing a door. A small push divided by a feather's weight gives an enormous number. That is Eu in ALD: 10^5 to 10^7 is perfectly normal. What actually matters for the process is the absolute pressure drop in Pascals (target &lt; 500 Pa) — that is why we report both."</w:t>
            </w:r>
          </w:p>
        </w:tc>
      </w:tr>
    </w:tbl>
    <w:p>
      <w:pPr>
        <w:spacing w:after="120"/>
      </w:pPr>
    </w:p>
    <w:p>
      <w:pPr>
        <w:spacing w:before="240" w:after="80"/>
      </w:pPr>
      <w:r>
        <w:rPr>
          <w:rFonts w:ascii="Times New Roman" w:hAnsi="Times New Roman"/>
          <w:b/>
          <w:i w:val="0"/>
          <w:color w:val="0064A0"/>
          <w:sz w:val="22"/>
        </w:rPr>
        <w:t>4.1b Mass Transfer and ALD Kinetics (Tier 1)</w:t>
      </w:r>
    </w:p>
    <w:p>
      <w:pPr>
        <w:pStyle w:val="ListBullet"/>
        <w:spacing w:after="60"/>
        <w:jc w:val="both"/>
      </w:pPr>
      <w:r>
        <w:rPr>
          <w:rFonts w:ascii="Times New Roman" w:hAnsi="Times New Roman"/>
          <w:b/>
          <w:i w:val="0"/>
          <w:sz w:val="22"/>
        </w:rPr>
        <w:t xml:space="preserve">Schmidt Number Sc = mu / (rho * D_m): </w:t>
      </w:r>
      <w:r>
        <w:rPr>
          <w:rFonts w:ascii="Times New Roman" w:hAnsi="Times New Roman"/>
          <w:b w:val="0"/>
          <w:i w:val="0"/>
          <w:sz w:val="22"/>
        </w:rPr>
        <w:t>[DESIGN CONSTRAINT] ratio of momentum to mass diffusivity. D_m [m^2/s] = TMA diffusivity in N2. Sc ≈ 1–3 for TMA/N2. Flags incorrect D_m specification.</w:t>
      </w:r>
    </w:p>
    <w:p>
      <w:pPr>
        <w:pStyle w:val="ListBullet"/>
        <w:spacing w:after="60"/>
        <w:jc w:val="both"/>
      </w:pPr>
      <w:r>
        <w:rPr>
          <w:rFonts w:ascii="Times New Roman" w:hAnsi="Times New Roman"/>
          <w:b/>
          <w:i w:val="0"/>
          <w:sz w:val="22"/>
        </w:rPr>
        <w:t xml:space="preserve">Peclet Number (mass) Pe_m = Re * Sc: </w:t>
      </w:r>
      <w:r>
        <w:rPr>
          <w:rFonts w:ascii="Times New Roman" w:hAnsi="Times New Roman"/>
          <w:b w:val="0"/>
          <w:i w:val="0"/>
          <w:sz w:val="22"/>
        </w:rPr>
        <w:t>[DESIGN CONSTRAINT] advection-to-diffusion ratio for mass transport. ALD operates at Pe_m ≈ 0.1–10 (diffusion-important). High Pe_m: convection dominates, uneven jets cannot be corrected by diffusion.</w:t>
      </w:r>
    </w:p>
    <w:tbl>
      <w:tblPr>
        <w:tblLook w:firstColumn="1" w:firstRow="1" w:lastColumn="0" w:lastRow="0" w:noHBand="0" w:noVBand="1" w:val="04A0"/>
        <w:tblW w:type="pct" w:w="5000"/>
      </w:tblPr>
      <w:tblGrid>
        <w:gridCol w:w="8838"/>
      </w:tblGrid>
      <w:tr>
        <w:tc>
          <w:tcPr>
            <w:tcW w:type="dxa" w:w="8838"/>
            <w:shd w:val="clear" w:color="auto" w:fill="F2F3F4"/>
          </w:tcPr>
          <w:p>
            <w:pPr>
              <w:spacing w:before="80" w:after="80"/>
              <w:ind w:left="170"/>
            </w:pPr>
            <w:r>
              <w:rPr>
                <w:rFonts w:ascii="Times New Roman" w:hAnsi="Times New Roman"/>
                <w:b/>
                <w:i w:val="0"/>
                <w:color w:val="34495E"/>
                <w:sz w:val="20"/>
              </w:rPr>
              <w:t>Intuition — What do Peclet numbers tell us — advection vs diffusion?</w:t>
              <w:br/>
            </w:r>
            <w:r>
              <w:rPr>
                <w:rFonts w:ascii="Times New Roman" w:hAnsi="Times New Roman"/>
                <w:b w:val="0"/>
                <w:i/>
                <w:color w:val="2C3E50"/>
                <w:sz w:val="20"/>
              </w:rPr>
              <w:t>"Imagine two ways a gas molecule can travel from a nozzle to the wafer: it can be carried by the bulk flow (advection — fast, directed), or it can wander randomly by itself (diffusion — slow, spreading in all directions). Pe measures which wins. Pe &gt;&gt; 1: advection dominates — molecules travel in the direction the flow points. Pe &lt;&lt; 1: diffusion dominates — molecules spread equally in all directions. ALD at Pe_m ≈ 0.1–10 sits in between — both effects matter. If Pe_m goes very high (fast flow, large reactor), diffusion cannot compensate for uneven jet placement, and uniformity suffers. The guardrail keeps the surrogate within the regime it was trained on."</w:t>
            </w:r>
          </w:p>
        </w:tc>
      </w:tr>
    </w:tbl>
    <w:p>
      <w:pPr>
        <w:spacing w:after="120"/>
      </w:pPr>
    </w:p>
    <w:p>
      <w:pPr>
        <w:pStyle w:val="ListBullet"/>
        <w:spacing w:after="60"/>
        <w:jc w:val="both"/>
      </w:pPr>
      <w:r>
        <w:rPr>
          <w:rFonts w:ascii="Times New Roman" w:hAnsi="Times New Roman"/>
          <w:b/>
          <w:i w:val="0"/>
          <w:sz w:val="22"/>
        </w:rPr>
        <w:t xml:space="preserve">Damkohler Number Da = k_rxn * L / V: </w:t>
      </w:r>
      <w:r>
        <w:rPr>
          <w:rFonts w:ascii="Times New Roman" w:hAnsi="Times New Roman"/>
          <w:b w:val="0"/>
          <w:i w:val="0"/>
          <w:sz w:val="22"/>
        </w:rPr>
        <w:t>ratio of surface reaction rate k_rxn [m/s] to convective transport V/L [1/s]. Da &lt;&lt; 1: reaction-limited — the ideal ALD self-limiting regime. Da &gt;&gt; 1: transport-limited — precursor depletes before spreading uniformly. Guard: Da in [0.001, 100].</w:t>
      </w:r>
    </w:p>
    <w:tbl>
      <w:tblPr>
        <w:tblLook w:firstColumn="1" w:firstRow="1" w:lastColumn="0" w:lastRow="0" w:noHBand="0" w:noVBand="1" w:val="04A0"/>
        <w:tblW w:type="pct" w:w="5000"/>
      </w:tblPr>
      <w:tblGrid>
        <w:gridCol w:w="8838"/>
      </w:tblGrid>
      <w:tr>
        <w:tc>
          <w:tcPr>
            <w:tcW w:type="dxa" w:w="8838"/>
            <w:shd w:val="clear" w:color="auto" w:fill="F2F3F4"/>
          </w:tcPr>
          <w:p>
            <w:pPr>
              <w:spacing w:before="80" w:after="80"/>
              <w:ind w:left="170"/>
            </w:pPr>
            <w:r>
              <w:rPr>
                <w:rFonts w:ascii="Times New Roman" w:hAnsi="Times New Roman"/>
                <w:b/>
                <w:i w:val="0"/>
                <w:color w:val="34495E"/>
                <w:sz w:val="20"/>
              </w:rPr>
              <w:t>Intuition — Why does Da matter so much for ALD uniformity?</w:t>
              <w:br/>
            </w:r>
            <w:r>
              <w:rPr>
                <w:rFonts w:ascii="Times New Roman" w:hAnsi="Times New Roman"/>
                <w:b w:val="0"/>
                <w:i/>
                <w:color w:val="2C3E50"/>
                <w:sz w:val="20"/>
              </w:rPr>
              <w:t>"Da is the race between reaction and delivery. If the gas reacts too fast before it spreads (Da &gt;&gt; 1), the wafer centre gets coated immediately but the edges receive nothing — exactly the non-uniformity ALD engineers dread. ALD's self-limiting chemistry only works when delivery wins the race (Da &lt;&lt; 1): gas spreads everywhere first, then reacts uniformly."</w:t>
            </w:r>
          </w:p>
        </w:tc>
      </w:tr>
    </w:tbl>
    <w:p>
      <w:pPr>
        <w:spacing w:after="120"/>
      </w:pPr>
    </w:p>
    <w:p>
      <w:pPr>
        <w:spacing w:before="240" w:after="80"/>
      </w:pPr>
      <w:r>
        <w:rPr>
          <w:rFonts w:ascii="Times New Roman" w:hAnsi="Times New Roman"/>
          <w:b/>
          <w:i w:val="0"/>
          <w:color w:val="005082"/>
          <w:sz w:val="24"/>
        </w:rPr>
        <w:t>4.2 Tier 2 — Physical Consistency Validators</w:t>
      </w:r>
    </w:p>
    <w:p>
      <w:pPr>
        <w:spacing w:after="120"/>
        <w:jc w:val="both"/>
      </w:pPr>
      <w:r>
        <w:rPr>
          <w:rFonts w:ascii="Times New Roman" w:hAnsi="Times New Roman"/>
          <w:b w:val="0"/>
          <w:i w:val="0"/>
          <w:sz w:val="22"/>
        </w:rPr>
        <w:t xml:space="preserve">The following five numbers are checked after surrogate prediction. Violation does not block inference but flags the design for </w:t>
      </w:r>
      <w:r>
        <w:rPr>
          <w:rFonts w:ascii="Times New Roman" w:hAnsi="Times New Roman"/>
          <w:b w:val="0"/>
          <w:i w:val="0"/>
          <w:sz w:val="22"/>
        </w:rPr>
        <w:t>CFD</w:t>
      </w:r>
      <w:r>
        <w:rPr>
          <w:rFonts w:ascii="Times New Roman" w:hAnsi="Times New Roman"/>
          <w:b w:val="0"/>
          <w:i w:val="0"/>
          <w:sz w:val="22"/>
        </w:rPr>
        <w:t xml:space="preserve"> refinement. Three of these (</w:t>
      </w:r>
      <w:r>
        <w:rPr>
          <w:rFonts w:ascii="Times New Roman" w:hAnsi="Times New Roman"/>
          <w:b w:val="0"/>
          <w:i w:val="0"/>
          <w:sz w:val="22"/>
        </w:rPr>
        <w:t>Nu</w:t>
      </w:r>
      <w:r>
        <w:rPr>
          <w:rFonts w:ascii="Times New Roman" w:hAnsi="Times New Roman"/>
          <w:b w:val="0"/>
          <w:i w:val="0"/>
          <w:sz w:val="22"/>
        </w:rPr>
        <w:t xml:space="preserve">, </w:t>
      </w:r>
      <w:r>
        <w:rPr>
          <w:rFonts w:ascii="Times New Roman" w:hAnsi="Times New Roman"/>
          <w:b w:val="0"/>
          <w:i w:val="0"/>
          <w:sz w:val="22"/>
        </w:rPr>
        <w:t>Bi</w:t>
      </w:r>
      <w:r>
        <w:rPr>
          <w:rFonts w:ascii="Times New Roman" w:hAnsi="Times New Roman"/>
          <w:b w:val="0"/>
          <w:i w:val="0"/>
          <w:sz w:val="22"/>
        </w:rPr>
        <w:t xml:space="preserve">, </w:t>
      </w:r>
      <w:r>
        <w:rPr>
          <w:rFonts w:ascii="Times New Roman" w:hAnsi="Times New Roman"/>
          <w:b w:val="0"/>
          <w:i w:val="0"/>
          <w:sz w:val="22"/>
        </w:rPr>
        <w:t>Sh</w:t>
      </w:r>
      <w:r>
        <w:rPr>
          <w:rFonts w:ascii="Times New Roman" w:hAnsi="Times New Roman"/>
          <w:b w:val="0"/>
          <w:i w:val="0"/>
          <w:sz w:val="22"/>
        </w:rPr>
        <w:t xml:space="preserve">) are results of the </w:t>
      </w:r>
      <w:r>
        <w:rPr>
          <w:rFonts w:ascii="Times New Roman" w:hAnsi="Times New Roman"/>
          <w:b w:val="0"/>
          <w:i w:val="0"/>
          <w:sz w:val="22"/>
        </w:rPr>
        <w:t>CFD</w:t>
      </w:r>
      <w:r>
        <w:rPr>
          <w:rFonts w:ascii="Times New Roman" w:hAnsi="Times New Roman"/>
          <w:b w:val="0"/>
          <w:i w:val="0"/>
          <w:sz w:val="22"/>
        </w:rPr>
        <w:t xml:space="preserve"> simulation, not quantities computable before solving — they validate the physical consistency of the surrogate's predictions against literature correlations.</w:t>
      </w:r>
    </w:p>
    <w:p>
      <w:pPr>
        <w:pStyle w:val="ListBullet"/>
        <w:spacing w:after="60"/>
        <w:jc w:val="both"/>
      </w:pPr>
      <w:r>
        <w:rPr>
          <w:rFonts w:ascii="Times New Roman" w:hAnsi="Times New Roman"/>
          <w:b/>
          <w:i w:val="0"/>
          <w:sz w:val="22"/>
        </w:rPr>
        <w:t xml:space="preserve">Prandtl Number Pr = cp*mu / k  [Tier 2]: </w:t>
      </w:r>
      <w:r>
        <w:rPr>
          <w:rFonts w:ascii="Times New Roman" w:hAnsi="Times New Roman"/>
          <w:b w:val="0"/>
          <w:i w:val="0"/>
          <w:sz w:val="22"/>
        </w:rPr>
        <w:t>ratio of momentum to thermal diffusivity. Pr ≈ 0.71 for N2 at 393 K — essentially fixed for a given carrier gas. Acts as a fluid-property consistency check; rarely violated in practice.</w:t>
      </w:r>
    </w:p>
    <w:p>
      <w:pPr>
        <w:pStyle w:val="ListBullet"/>
        <w:spacing w:after="60"/>
        <w:jc w:val="both"/>
      </w:pPr>
      <w:r>
        <w:rPr>
          <w:rFonts w:ascii="Times New Roman" w:hAnsi="Times New Roman"/>
          <w:b/>
          <w:i w:val="0"/>
          <w:sz w:val="22"/>
        </w:rPr>
        <w:t xml:space="preserve">Peclet Number (heat) Pe_h = Re*Pr  [Tier 2]: </w:t>
      </w:r>
      <w:r>
        <w:rPr>
          <w:rFonts w:ascii="Times New Roman" w:hAnsi="Times New Roman"/>
          <w:b w:val="0"/>
          <w:i w:val="0"/>
          <w:sz w:val="22"/>
        </w:rPr>
        <w:t>derived from Re and Pr — not an independent number. Validates that the advection-diffusion balance for heat is consistent with the training distribution.</w:t>
      </w:r>
    </w:p>
    <w:p>
      <w:pPr>
        <w:pStyle w:val="ListBullet"/>
        <w:spacing w:after="60"/>
        <w:jc w:val="both"/>
      </w:pPr>
      <w:r>
        <w:rPr>
          <w:rFonts w:ascii="Times New Roman" w:hAnsi="Times New Roman"/>
          <w:b/>
          <w:i w:val="0"/>
          <w:sz w:val="22"/>
        </w:rPr>
        <w:t xml:space="preserve">Nusselt Number Nu = h*L / k  [Tier 2]: </w:t>
      </w:r>
      <w:r>
        <w:rPr>
          <w:rFonts w:ascii="Times New Roman" w:hAnsi="Times New Roman"/>
          <w:b w:val="0"/>
          <w:i w:val="0"/>
          <w:sz w:val="22"/>
        </w:rPr>
        <w:t>ratio of convective to conductive heat transfer. Computed from the Martin (1977) jet-impingement correlation: Nu = 0.5 * Re^0.5 * Pr^0.42. Important note: at ALD's creeping-flow regime (Re ~ 1-10), Nu ~ 0.5-0.8 is physically correct and expected — it indicates conduction-dominated heat transfer, which is desirable for ALD (uniform faceplate temperature). Nu &lt; 1 does NOT indicate a problem; it is the normal ALD operating regime. Allowable range: [0.1, 100].</w:t>
      </w:r>
    </w:p>
    <w:p>
      <w:pPr>
        <w:pStyle w:val="ListBullet"/>
        <w:spacing w:after="60"/>
        <w:jc w:val="both"/>
      </w:pPr>
      <w:r>
        <w:rPr>
          <w:rFonts w:ascii="Times New Roman" w:hAnsi="Times New Roman"/>
          <w:b/>
          <w:i w:val="0"/>
          <w:sz w:val="22"/>
        </w:rPr>
        <w:t xml:space="preserve">Biot Number Bi = h*L / k_s  [Tier 2]: </w:t>
      </w:r>
      <w:r>
        <w:rPr>
          <w:rFonts w:ascii="Times New Roman" w:hAnsi="Times New Roman"/>
          <w:b w:val="0"/>
          <w:i w:val="0"/>
          <w:sz w:val="22"/>
        </w:rPr>
        <w:t>ratio of surface convection to faceplate internal conduction. k_s = 16 W/(m.K) for stainless steel 316 faceplate (default). h is derived from the computed Nu. Bi &lt;&lt; 1 validates the uniform wall temperature boundary condition. Allowable range: [0.001, 0.1].</w:t>
      </w:r>
    </w:p>
    <w:p>
      <w:pPr>
        <w:pStyle w:val="ListBullet"/>
        <w:spacing w:after="60"/>
        <w:jc w:val="both"/>
      </w:pPr>
      <w:r>
        <w:rPr>
          <w:rFonts w:ascii="Times New Roman" w:hAnsi="Times New Roman"/>
          <w:b/>
          <w:i w:val="0"/>
          <w:sz w:val="22"/>
        </w:rPr>
        <w:t xml:space="preserve">Sherwood Number Sh = k_m*L / D_m  [Tier 2]: </w:t>
      </w:r>
      <w:r>
        <w:rPr>
          <w:rFonts w:ascii="Times New Roman" w:hAnsi="Times New Roman"/>
          <w:b w:val="0"/>
          <w:i w:val="0"/>
          <w:sz w:val="22"/>
        </w:rPr>
        <w:t>mass-transfer analogue of Nusselt, computed via the Chilton-Colburn analogy: Sh = Nu * (Sc/Pr)^(1/3). Similarly, Sh &lt; 1 at low Re indicates diffusion-dominated precursor transport — physically correct and favourable for ALD uniformity since diffusion spreads the precursor uniformly regardless of jet placement. Allowable range: [0.1, 50].</w:t>
      </w:r>
    </w:p>
    <w:p>
      <w:pPr>
        <w:spacing w:before="240" w:after="80"/>
      </w:pPr>
      <w:r>
        <w:rPr>
          <w:rFonts w:ascii="Times New Roman" w:hAnsi="Times New Roman"/>
          <w:b/>
          <w:i w:val="0"/>
          <w:color w:val="003366"/>
          <w:sz w:val="28"/>
        </w:rPr>
        <w:t>5. Track 1 — Physics-Constrained Geometric Morphogenesis (PCGM)</w:t>
      </w:r>
    </w:p>
    <w:p>
      <w:pPr>
        <w:spacing w:before="240" w:after="80"/>
      </w:pPr>
      <w:r>
        <w:rPr>
          <w:rFonts w:ascii="Times New Roman" w:hAnsi="Times New Roman"/>
          <w:b/>
          <w:i w:val="0"/>
          <w:color w:val="005082"/>
          <w:sz w:val="24"/>
        </w:rPr>
        <w:t>5.1 Dataset Generation</w:t>
      </w:r>
    </w:p>
    <w:p>
      <w:pPr>
        <w:spacing w:after="120"/>
        <w:jc w:val="both"/>
      </w:pPr>
      <w:r>
        <w:rPr>
          <w:rFonts w:ascii="Times New Roman" w:hAnsi="Times New Roman"/>
          <w:b w:val="0"/>
          <w:i w:val="0"/>
          <w:sz w:val="22"/>
        </w:rPr>
        <w:t>83 OpenFOAM reactingFoam simulations were generated across a five-dimensional design space: nozzle diameter D in [1.0, 3.0] mm, pitch/D in [3.0, 6.0], flow rate Q in [1.0, 10.0] slm (Standard Litres per Minute; 1 slm = 1.667×10^-5 m^3/s at 0°C, 1 atm), plenum height H in [15.0, 25.0] mm, faceplate thickness t in [2.0, 4.0] mm. Turbulence model was auto-selected: laminar (</w:t>
      </w:r>
      <w:r>
        <w:rPr>
          <w:rFonts w:ascii="Times New Roman" w:hAnsi="Times New Roman"/>
          <w:b w:val="0"/>
          <w:i w:val="0"/>
          <w:sz w:val="22"/>
        </w:rPr>
        <w:t>Re</w:t>
      </w:r>
      <w:r>
        <w:rPr>
          <w:rFonts w:ascii="Times New Roman" w:hAnsi="Times New Roman"/>
          <w:b w:val="0"/>
          <w:i w:val="0"/>
          <w:sz w:val="22"/>
        </w:rPr>
        <w:t xml:space="preserve"> &lt; 2300) or k-omega Shear Stress Transport (</w:t>
      </w:r>
      <w:r>
        <w:rPr>
          <w:rFonts w:ascii="Times New Roman" w:hAnsi="Times New Roman"/>
          <w:b/>
          <w:i w:val="0"/>
          <w:sz w:val="22"/>
        </w:rPr>
        <w:t>SST</w:t>
      </w:r>
      <w:r>
        <w:rPr>
          <w:rFonts w:ascii="Times New Roman" w:hAnsi="Times New Roman"/>
          <w:b w:val="0"/>
          <w:i w:val="0"/>
          <w:sz w:val="22"/>
        </w:rPr>
        <w:t>) (</w:t>
      </w:r>
      <w:r>
        <w:rPr>
          <w:rFonts w:ascii="Times New Roman" w:hAnsi="Times New Roman"/>
          <w:b w:val="0"/>
          <w:i w:val="0"/>
          <w:sz w:val="22"/>
        </w:rPr>
        <w:t>Re</w:t>
      </w:r>
      <w:r>
        <w:rPr>
          <w:rFonts w:ascii="Times New Roman" w:hAnsi="Times New Roman"/>
          <w:b w:val="0"/>
          <w:i w:val="0"/>
          <w:sz w:val="22"/>
        </w:rPr>
        <w:t xml:space="preserve"> &gt;= 2300). Each simulation ran in 6–10 minutes in a Docker container (opencfd/openfoam-default v2512), 4 cases in parallel.</w:t>
      </w:r>
    </w:p>
    <w:p>
      <w:pPr>
        <w:spacing w:after="120"/>
        <w:jc w:val="both"/>
      </w:pPr>
      <w:r>
        <w:rPr>
          <w:rFonts w:ascii="Times New Roman" w:hAnsi="Times New Roman"/>
          <w:b w:val="0"/>
          <w:i w:val="0"/>
          <w:sz w:val="22"/>
        </w:rPr>
        <w:t xml:space="preserve">The </w:t>
      </w:r>
      <w:r>
        <w:rPr>
          <w:rFonts w:ascii="Times New Roman" w:hAnsi="Times New Roman"/>
          <w:b w:val="0"/>
          <w:i w:val="0"/>
          <w:sz w:val="22"/>
        </w:rPr>
        <w:t>TMA</w:t>
      </w:r>
      <w:r>
        <w:rPr>
          <w:rFonts w:ascii="Times New Roman" w:hAnsi="Times New Roman"/>
          <w:b w:val="0"/>
          <w:i w:val="0"/>
          <w:sz w:val="22"/>
        </w:rPr>
        <w:t xml:space="preserve"> Uniformity Index (</w:t>
      </w:r>
      <w:r>
        <w:rPr>
          <w:rFonts w:ascii="Times New Roman" w:hAnsi="Times New Roman"/>
          <w:b w:val="0"/>
          <w:i w:val="0"/>
          <w:sz w:val="22"/>
        </w:rPr>
        <w:t>TMA</w:t>
      </w:r>
      <w:r>
        <w:rPr>
          <w:rFonts w:ascii="Times New Roman" w:hAnsi="Times New Roman"/>
          <w:b w:val="0"/>
          <w:i w:val="0"/>
          <w:sz w:val="22"/>
        </w:rPr>
        <w:t>-UI) is defined as:</w:t>
      </w:r>
    </w:p>
    <w:p>
      <w:pPr>
        <w:spacing w:before="80" w:after="40"/>
        <w:jc w:val="center"/>
      </w:pPr>
      <w:r>
        <w:rPr>
          <w:rFonts w:ascii="Courier New" w:hAnsi="Courier New"/>
          <w:b w:val="0"/>
          <w:i/>
          <w:sz w:val="20"/>
        </w:rPr>
        <w:t>TMA-UI  =  1  −  std(TMA_wafer) / mean(TMA_wafer)     ∈ (−∞, 1]</w:t>
      </w:r>
    </w:p>
    <w:p>
      <w:pPr>
        <w:spacing w:before="40" w:after="120"/>
        <w:ind w:left="567"/>
      </w:pPr>
      <w:r>
        <w:rPr>
          <w:rFonts w:ascii="Times New Roman" w:hAnsi="Times New Roman"/>
          <w:b/>
          <w:i w:val="0"/>
          <w:sz w:val="20"/>
        </w:rPr>
        <w:t xml:space="preserve">Where:  </w:t>
      </w:r>
      <w:r>
        <w:rPr>
          <w:rFonts w:ascii="Times New Roman" w:hAnsi="Times New Roman"/>
          <w:b w:val="0"/>
          <w:i/>
          <w:sz w:val="20"/>
        </w:rPr>
        <w:t>std = standard deviation of TMA mass fraction at wafer-adjacent cells;  mean = mean TMA mass fraction;  value of 1 = perfect uniformity;  negative = standard deviation exceeds mean (highly non-uniform).</w:t>
      </w:r>
    </w:p>
    <w:p>
      <w:pPr>
        <w:spacing w:after="120"/>
        <w:jc w:val="both"/>
      </w:pPr>
      <w:r>
        <w:rPr>
          <w:rFonts w:ascii="Times New Roman" w:hAnsi="Times New Roman"/>
          <w:b w:val="0"/>
          <w:i w:val="0"/>
          <w:sz w:val="22"/>
        </w:rPr>
        <w:t xml:space="preserve">Track 1 </w:t>
      </w:r>
      <w:r>
        <w:rPr>
          <w:rFonts w:ascii="Times New Roman" w:hAnsi="Times New Roman"/>
          <w:b w:val="0"/>
          <w:i w:val="0"/>
          <w:sz w:val="22"/>
        </w:rPr>
        <w:t>TMA</w:t>
      </w:r>
      <w:r>
        <w:rPr>
          <w:rFonts w:ascii="Times New Roman" w:hAnsi="Times New Roman"/>
          <w:b w:val="0"/>
          <w:i w:val="0"/>
          <w:sz w:val="22"/>
        </w:rPr>
        <w:t>-UI range: 0.34 to 0.59 (mean 0.50, standard deviation 0.11).</w:t>
      </w:r>
    </w:p>
    <w:p>
      <w:pPr>
        <w:spacing w:before="240" w:after="80"/>
      </w:pPr>
      <w:r>
        <w:rPr>
          <w:rFonts w:ascii="Times New Roman" w:hAnsi="Times New Roman"/>
          <w:b/>
          <w:i w:val="0"/>
          <w:color w:val="005082"/>
          <w:sz w:val="24"/>
        </w:rPr>
        <w:t>5.2 MultiHeadMGN Architecture</w:t>
      </w:r>
    </w:p>
    <w:p>
      <w:pPr>
        <w:spacing w:after="120"/>
        <w:jc w:val="both"/>
      </w:pPr>
      <w:r>
        <w:rPr>
          <w:rFonts w:ascii="Times New Roman" w:hAnsi="Times New Roman"/>
          <w:b w:val="0"/>
          <w:i w:val="0"/>
          <w:sz w:val="22"/>
        </w:rPr>
        <w:t xml:space="preserve">The </w:t>
      </w:r>
      <w:r>
        <w:rPr>
          <w:rFonts w:ascii="Times New Roman" w:hAnsi="Times New Roman"/>
          <w:b w:val="0"/>
          <w:i w:val="0"/>
          <w:sz w:val="22"/>
        </w:rPr>
        <w:t>GNN</w:t>
      </w:r>
      <w:r>
        <w:rPr>
          <w:rFonts w:ascii="Times New Roman" w:hAnsi="Times New Roman"/>
          <w:b w:val="0"/>
          <w:i w:val="0"/>
          <w:sz w:val="22"/>
        </w:rPr>
        <w:t xml:space="preserve"> surrogate follows MeshGraphNet [6] with three modifications: independent decoder heads per physics domain; LayerNorm after each hidden layer; species head loss weighted 50× to prioritise </w:t>
      </w:r>
      <w:r>
        <w:rPr>
          <w:rFonts w:ascii="Times New Roman" w:hAnsi="Times New Roman"/>
          <w:b w:val="0"/>
          <w:i w:val="0"/>
          <w:sz w:val="22"/>
        </w:rPr>
        <w:t>TMA</w:t>
      </w:r>
      <w:r>
        <w:rPr>
          <w:rFonts w:ascii="Times New Roman" w:hAnsi="Times New Roman"/>
          <w:b w:val="0"/>
          <w:i w:val="0"/>
          <w:sz w:val="22"/>
        </w:rPr>
        <w:t xml:space="preserve"> learning.</w:t>
      </w:r>
    </w:p>
    <w:p>
      <w:pPr>
        <w:pStyle w:val="ListBullet"/>
        <w:spacing w:after="60"/>
        <w:jc w:val="both"/>
      </w:pPr>
      <w:r>
        <w:rPr>
          <w:rFonts w:ascii="Times New Roman" w:hAnsi="Times New Roman"/>
          <w:b/>
          <w:i w:val="0"/>
          <w:sz w:val="22"/>
        </w:rPr>
        <w:t xml:space="preserve">Input features [22]: </w:t>
      </w:r>
      <w:r>
        <w:rPr>
          <w:rFonts w:ascii="Times New Roman" w:hAnsi="Times New Roman"/>
          <w:b w:val="0"/>
          <w:i w:val="0"/>
          <w:sz w:val="22"/>
        </w:rPr>
        <w:t>4 local node features (boundary condition type one-hot) + 18 global physics features (Re, Da, Pr, Sc, Pe_h, Pe_m, Eu, Ma, nozzle geometry ratios, thermal velocity, beta).</w:t>
      </w:r>
    </w:p>
    <w:p>
      <w:pPr>
        <w:pStyle w:val="ListBullet"/>
        <w:spacing w:after="60"/>
        <w:jc w:val="both"/>
      </w:pPr>
      <w:r>
        <w:rPr>
          <w:rFonts w:ascii="Times New Roman" w:hAnsi="Times New Roman"/>
          <w:b/>
          <w:i w:val="0"/>
          <w:sz w:val="22"/>
        </w:rPr>
        <w:t xml:space="preserve">Edge features [4]: </w:t>
      </w:r>
      <w:r>
        <w:rPr>
          <w:rFonts w:ascii="Times New Roman" w:hAnsi="Times New Roman"/>
          <w:b w:val="0"/>
          <w:i w:val="0"/>
          <w:sz w:val="22"/>
        </w:rPr>
        <w:t>relative position (dx/d_med, dy/d_med, dz/d_med) and distance (dist/d_med), normalised by median edge length d_med.</w:t>
      </w:r>
    </w:p>
    <w:p>
      <w:pPr>
        <w:pStyle w:val="ListBullet"/>
        <w:spacing w:after="60"/>
        <w:jc w:val="both"/>
      </w:pPr>
      <w:r>
        <w:rPr>
          <w:rFonts w:ascii="Times New Roman" w:hAnsi="Times New Roman"/>
          <w:b/>
          <w:i w:val="0"/>
          <w:sz w:val="22"/>
        </w:rPr>
        <w:t xml:space="preserve">Message passing: </w:t>
      </w:r>
      <w:r>
        <w:rPr>
          <w:rFonts w:ascii="Times New Roman" w:hAnsi="Times New Roman"/>
          <w:b w:val="0"/>
          <w:i w:val="0"/>
          <w:sz w:val="22"/>
        </w:rPr>
        <w:t>15 MGNProcessor layers. Each layer: edge update = MLP(concat(node_i, node_j, edge)) + residual; node update = MLP(concat(node, sum(edges))) + residual.</w:t>
      </w:r>
    </w:p>
    <w:p>
      <w:pPr>
        <w:pStyle w:val="ListBullet"/>
        <w:spacing w:after="60"/>
        <w:jc w:val="both"/>
      </w:pPr>
      <w:r>
        <w:rPr>
          <w:rFonts w:ascii="Times New Roman" w:hAnsi="Times New Roman"/>
          <w:b/>
          <w:i w:val="0"/>
          <w:sz w:val="22"/>
        </w:rPr>
        <w:t xml:space="preserve">Decoders: </w:t>
      </w:r>
      <w:r>
        <w:rPr>
          <w:rFonts w:ascii="Times New Roman" w:hAnsi="Times New Roman"/>
          <w:b w:val="0"/>
          <w:i w:val="0"/>
          <w:sz w:val="22"/>
        </w:rPr>
        <w:t>Flow: 256 → [Ux, Uy, Uz, p]. Heat: 256 → [T]. Species: 256 → [TMA]. Total: 7.07M parameters.</w:t>
      </w:r>
    </w:p>
    <w:p>
      <w:pPr>
        <w:spacing w:after="120"/>
        <w:jc w:val="both"/>
      </w:pPr>
      <w:r>
        <w:rPr>
          <w:rFonts w:ascii="Times New Roman" w:hAnsi="Times New Roman"/>
          <w:b w:val="0"/>
          <w:i w:val="0"/>
          <w:sz w:val="22"/>
        </w:rPr>
        <w:t xml:space="preserve">Training: AdamW (lr = 3×10^-4, weight decay = 10^-4), cosine annealing, 200 epochs, Google Colab A100 </w:t>
      </w:r>
      <w:r>
        <w:rPr>
          <w:rFonts w:ascii="Times New Roman" w:hAnsi="Times New Roman"/>
          <w:b/>
          <w:i w:val="0"/>
          <w:sz w:val="22"/>
        </w:rPr>
        <w:t>GPU</w:t>
      </w:r>
      <w:r>
        <w:rPr>
          <w:rFonts w:ascii="Times New Roman" w:hAnsi="Times New Roman"/>
          <w:b w:val="0"/>
          <w:i w:val="0"/>
          <w:sz w:val="22"/>
        </w:rPr>
        <w:t xml:space="preserve"> (~2 hours). k-NN graphs (k=6) pre-cached to </w:t>
      </w:r>
      <w:r>
        <w:rPr>
          <w:rFonts w:ascii="Times New Roman" w:hAnsi="Times New Roman"/>
          <w:b w:val="0"/>
          <w:i w:val="0"/>
          <w:sz w:val="22"/>
        </w:rPr>
        <w:t>GPU</w:t>
      </w:r>
      <w:r>
        <w:rPr>
          <w:rFonts w:ascii="Times New Roman" w:hAnsi="Times New Roman"/>
          <w:b w:val="0"/>
          <w:i w:val="0"/>
          <w:sz w:val="22"/>
        </w:rPr>
        <w:t>. Split: 90% train / 10% val, seed = 42.</w:t>
      </w:r>
    </w:p>
    <w:p>
      <w:pPr>
        <w:spacing w:before="240" w:after="80"/>
      </w:pPr>
      <w:r>
        <w:rPr>
          <w:rFonts w:ascii="Times New Roman" w:hAnsi="Times New Roman"/>
          <w:b/>
          <w:i w:val="0"/>
          <w:color w:val="005082"/>
          <w:sz w:val="24"/>
        </w:rPr>
        <w:t>5.3 Multi-Fidelity KPI Surrogate</w:t>
      </w:r>
    </w:p>
    <w:p>
      <w:pPr>
        <w:spacing w:after="120"/>
        <w:jc w:val="both"/>
      </w:pPr>
      <w:r>
        <w:rPr>
          <w:rFonts w:ascii="Times New Roman" w:hAnsi="Times New Roman"/>
          <w:b w:val="0"/>
          <w:i w:val="0"/>
          <w:sz w:val="22"/>
        </w:rPr>
        <w:t>TMA</w:t>
      </w:r>
      <w:r>
        <w:rPr>
          <w:rFonts w:ascii="Times New Roman" w:hAnsi="Times New Roman"/>
          <w:b w:val="0"/>
          <w:i w:val="0"/>
          <w:sz w:val="22"/>
        </w:rPr>
        <w:t xml:space="preserve"> spatial gradients at the wafer surface exist only in a ~0.1 mm boundary layer, unresolvable at the current ~1 mm mesh cell size. We address this with a complementary multi-fidelity </w:t>
      </w:r>
      <w:r>
        <w:rPr>
          <w:rFonts w:ascii="Times New Roman" w:hAnsi="Times New Roman"/>
          <w:b w:val="0"/>
          <w:i w:val="0"/>
          <w:sz w:val="22"/>
        </w:rPr>
        <w:t>KPI</w:t>
      </w:r>
      <w:r>
        <w:rPr>
          <w:rFonts w:ascii="Times New Roman" w:hAnsi="Times New Roman"/>
          <w:b w:val="0"/>
          <w:i w:val="0"/>
          <w:sz w:val="22"/>
        </w:rPr>
        <w:t xml:space="preserve"> surrogate trained on design-level features:</w:t>
      </w:r>
    </w:p>
    <w:p>
      <w:pPr>
        <w:pStyle w:val="ListBullet"/>
        <w:spacing w:after="60"/>
        <w:jc w:val="both"/>
      </w:pPr>
      <w:r>
        <w:rPr>
          <w:rFonts w:ascii="Times New Roman" w:hAnsi="Times New Roman"/>
          <w:b/>
          <w:i w:val="0"/>
          <w:sz w:val="22"/>
        </w:rPr>
        <w:t xml:space="preserve">Global physics features [18]: </w:t>
      </w:r>
      <w:r>
        <w:rPr>
          <w:rFonts w:ascii="Times New Roman" w:hAnsi="Times New Roman"/>
          <w:b w:val="0"/>
          <w:i w:val="0"/>
          <w:sz w:val="22"/>
        </w:rPr>
        <w:t>Re, Ma, Eu, Pr, Sc, Pe_h, Pe_m, Da, nozzle diameter, pitch/D, plenum height, faceplate thickness, standoff, and derived geometric ratios.</w:t>
      </w:r>
    </w:p>
    <w:p>
      <w:pPr>
        <w:pStyle w:val="ListBullet"/>
        <w:spacing w:after="60"/>
        <w:jc w:val="both"/>
      </w:pPr>
      <w:r>
        <w:rPr>
          <w:rFonts w:ascii="Times New Roman" w:hAnsi="Times New Roman"/>
          <w:b/>
          <w:i w:val="0"/>
          <w:sz w:val="22"/>
        </w:rPr>
        <w:t xml:space="preserve">Wafer-plane CFD statistics [9]: </w:t>
      </w:r>
      <w:r>
        <w:rPr>
          <w:rFonts w:ascii="Times New Roman" w:hAnsi="Times New Roman"/>
          <w:b w:val="0"/>
          <w:i w:val="0"/>
          <w:sz w:val="22"/>
        </w:rPr>
        <w:t>mean and standard deviation of Uz (vertical velocity), p (pressure), T (temperature), TMA concentration at wafer-plane cells, plus Uz-UI.</w:t>
      </w:r>
    </w:p>
    <w:p>
      <w:pPr>
        <w:spacing w:after="120"/>
        <w:jc w:val="both"/>
      </w:pPr>
      <w:r>
        <w:rPr>
          <w:rFonts w:ascii="Times New Roman" w:hAnsi="Times New Roman"/>
          <w:b w:val="0"/>
          <w:i w:val="0"/>
          <w:sz w:val="22"/>
        </w:rPr>
        <w:t>5-fold cross-validation results on all 120 cases:</w:t>
      </w:r>
    </w:p>
    <w:p>
      <w:pPr>
        <w:spacing w:before="80" w:after="40"/>
        <w:jc w:val="center"/>
      </w:pPr>
      <w:r>
        <w:rPr>
          <w:rFonts w:ascii="Courier New" w:hAnsi="Courier New"/>
          <w:b w:val="0"/>
          <w:i/>
          <w:sz w:val="20"/>
        </w:rPr>
        <w:t>OOF R²  = 0.985       OOF Spearman ρ  = 0.947      (n = 120,  p &lt; 10⁻¹⁴)</w:t>
      </w:r>
    </w:p>
    <w:p>
      <w:pPr>
        <w:spacing w:before="40" w:after="120"/>
        <w:ind w:left="567"/>
      </w:pPr>
      <w:r>
        <w:rPr>
          <w:rFonts w:ascii="Times New Roman" w:hAnsi="Times New Roman"/>
          <w:b/>
          <w:i w:val="0"/>
          <w:sz w:val="20"/>
        </w:rPr>
        <w:t xml:space="preserve">Where:  </w:t>
      </w:r>
      <w:r>
        <w:rPr>
          <w:rFonts w:ascii="Times New Roman" w:hAnsi="Times New Roman"/>
          <w:b w:val="0"/>
          <w:i/>
          <w:sz w:val="20"/>
        </w:rPr>
        <w:t>OOF = out-of-fold (each case predicted by a model that never saw it);  R² = coefficient of determination;  ρ = Spearman rank correlation (1.0 = perfect ranking).</w:t>
      </w:r>
    </w:p>
    <w:tbl>
      <w:tblPr>
        <w:tblLook w:firstColumn="1" w:firstRow="1" w:lastColumn="0" w:lastRow="0" w:noHBand="0" w:noVBand="1" w:val="04A0"/>
        <w:tblW w:type="pct" w:w="5000"/>
      </w:tblPr>
      <w:tblGrid>
        <w:gridCol w:w="8838"/>
      </w:tblGrid>
      <w:tr>
        <w:tc>
          <w:tcPr>
            <w:tcW w:type="dxa" w:w="8838"/>
            <w:shd w:val="clear" w:color="auto" w:fill="D6EAF8"/>
          </w:tcPr>
          <w:p>
            <w:pPr>
              <w:spacing w:before="80" w:after="80"/>
              <w:ind w:left="170"/>
            </w:pPr>
            <w:r>
              <w:rPr>
                <w:rFonts w:ascii="Times New Roman" w:hAnsi="Times New Roman"/>
                <w:b/>
                <w:i w:val="0"/>
                <w:color w:val="1A5276"/>
                <w:sz w:val="20"/>
              </w:rPr>
              <w:t xml:space="preserve">Key Finding:  </w:t>
            </w:r>
            <w:r>
              <w:rPr>
                <w:rFonts w:ascii="Times New Roman" w:hAnsi="Times New Roman"/>
                <w:b w:val="0"/>
                <w:i w:val="0"/>
                <w:color w:val="1A5276"/>
                <w:sz w:val="20"/>
              </w:rPr>
              <w:t>The multi-fidelity KPI surrogate (OOF ρ = 0.947) correctly ranks 95% of design pairs by TMA uniformity — sufficient for the optimizer to reliably identify high-performing designs across the combined Track 1 + Track 2 space.</w:t>
            </w:r>
          </w:p>
        </w:tc>
      </w:tr>
    </w:tbl>
    <w:p>
      <w:pPr>
        <w:spacing w:after="120"/>
      </w:pPr>
    </w:p>
    <w:p>
      <w:pPr>
        <w:spacing w:before="240" w:after="80"/>
      </w:pPr>
      <w:r>
        <w:rPr>
          <w:rFonts w:ascii="Times New Roman" w:hAnsi="Times New Roman"/>
          <w:b/>
          <w:i w:val="0"/>
          <w:color w:val="003366"/>
          <w:sz w:val="28"/>
        </w:rPr>
        <w:t>6. Track 2 — Voxel-Implicit Computational Engineering Synthesis (VICES)</w:t>
      </w:r>
    </w:p>
    <w:p>
      <w:pPr>
        <w:spacing w:before="240" w:after="80"/>
      </w:pPr>
      <w:r>
        <w:rPr>
          <w:rFonts w:ascii="Times New Roman" w:hAnsi="Times New Roman"/>
          <w:b/>
          <w:i w:val="0"/>
          <w:color w:val="005082"/>
          <w:sz w:val="24"/>
        </w:rPr>
        <w:t>6.1 SDF Primitives and CSG Boolean Operations</w:t>
      </w:r>
    </w:p>
    <w:p>
      <w:pPr>
        <w:spacing w:after="120"/>
        <w:jc w:val="both"/>
      </w:pPr>
      <w:r>
        <w:rPr>
          <w:rFonts w:ascii="Times New Roman" w:hAnsi="Times New Roman"/>
          <w:b w:val="0"/>
          <w:i w:val="0"/>
          <w:sz w:val="22"/>
        </w:rPr>
        <w:t>VICES</w:t>
      </w:r>
      <w:r>
        <w:rPr>
          <w:rFonts w:ascii="Times New Roman" w:hAnsi="Times New Roman"/>
          <w:b w:val="0"/>
          <w:i w:val="0"/>
          <w:sz w:val="22"/>
        </w:rPr>
        <w:t xml:space="preserve"> builds geometry from four primitive </w:t>
      </w:r>
      <w:r>
        <w:rPr>
          <w:rFonts w:ascii="Times New Roman" w:hAnsi="Times New Roman"/>
          <w:b w:val="0"/>
          <w:i w:val="0"/>
          <w:sz w:val="22"/>
        </w:rPr>
        <w:t>SDF</w:t>
      </w:r>
      <w:r>
        <w:rPr>
          <w:rFonts w:ascii="Times New Roman" w:hAnsi="Times New Roman"/>
          <w:b w:val="0"/>
          <w:i w:val="0"/>
          <w:sz w:val="22"/>
        </w:rPr>
        <w:t xml:space="preserve"> types (Cylinder, Box, Cone, Sphere). As an example, the cylinder </w:t>
      </w:r>
      <w:r>
        <w:rPr>
          <w:rFonts w:ascii="Times New Roman" w:hAnsi="Times New Roman"/>
          <w:b w:val="0"/>
          <w:i w:val="0"/>
          <w:sz w:val="22"/>
        </w:rPr>
        <w:t>SDF</w:t>
      </w:r>
      <w:r>
        <w:rPr>
          <w:rFonts w:ascii="Times New Roman" w:hAnsi="Times New Roman"/>
          <w:b w:val="0"/>
          <w:i w:val="0"/>
          <w:sz w:val="22"/>
        </w:rPr>
        <w:t xml:space="preserve"> centred at (cx, cy, cz) with radius r and height h is:</w:t>
      </w:r>
    </w:p>
    <w:p>
      <w:pPr>
        <w:spacing w:before="80" w:after="40"/>
        <w:jc w:val="center"/>
      </w:pPr>
      <w:r>
        <w:rPr>
          <w:rFonts w:ascii="Courier New" w:hAnsi="Courier New"/>
          <w:b w:val="0"/>
          <w:i/>
          <w:sz w:val="20"/>
        </w:rPr>
        <w:t>f_cyl(x,y,z)  =  max( √((x−cx)²+(y−cy)²) − r,   |z−cz| − h/2 )</w:t>
      </w:r>
    </w:p>
    <w:p>
      <w:pPr>
        <w:spacing w:before="40" w:after="120"/>
        <w:ind w:left="567"/>
      </w:pPr>
      <w:r>
        <w:rPr>
          <w:rFonts w:ascii="Times New Roman" w:hAnsi="Times New Roman"/>
          <w:b/>
          <w:i w:val="0"/>
          <w:sz w:val="20"/>
        </w:rPr>
        <w:t xml:space="preserve">Where:  </w:t>
      </w:r>
      <w:r>
        <w:rPr>
          <w:rFonts w:ascii="Times New Roman" w:hAnsi="Times New Roman"/>
          <w:b w:val="0"/>
          <w:i/>
          <w:sz w:val="20"/>
        </w:rPr>
        <w:t>(cx, cy, cz) = cylinder centre coordinates [m];  r = cylinder radius [m];  h = cylinder height [m];  positive value = point is outside the solid;  negative value = point is inside the solid;  zero = point lies exactly on the surface.</w:t>
      </w:r>
    </w:p>
    <w:p>
      <w:pPr>
        <w:spacing w:after="120"/>
        <w:jc w:val="both"/>
      </w:pPr>
      <w:r>
        <w:rPr>
          <w:rFonts w:ascii="Times New Roman" w:hAnsi="Times New Roman"/>
          <w:b w:val="0"/>
          <w:i w:val="0"/>
          <w:sz w:val="22"/>
        </w:rPr>
        <w:t>Boolean operations on SDFs reduce to elementwise arithmetic:</w:t>
      </w:r>
    </w:p>
    <w:p>
      <w:pPr>
        <w:spacing w:before="80" w:after="40"/>
        <w:jc w:val="center"/>
      </w:pPr>
      <w:r>
        <w:rPr>
          <w:rFonts w:ascii="Courier New" w:hAnsi="Courier New"/>
          <w:b w:val="0"/>
          <w:i/>
          <w:sz w:val="20"/>
        </w:rPr>
        <w:t>Union(A, B)      →  f = min(f_A, f_B)    [inside either shape]</w:t>
      </w:r>
    </w:p>
    <w:p>
      <w:pPr>
        <w:spacing w:before="80" w:after="40"/>
        <w:jc w:val="center"/>
      </w:pPr>
      <w:r>
        <w:rPr>
          <w:rFonts w:ascii="Courier New" w:hAnsi="Courier New"/>
          <w:b w:val="0"/>
          <w:i/>
          <w:sz w:val="20"/>
        </w:rPr>
        <w:t>Subtract(A, B)   →  f = max(f_A, −f_B)   [A minus B]</w:t>
      </w:r>
    </w:p>
    <w:p>
      <w:pPr>
        <w:spacing w:before="80" w:after="40"/>
        <w:jc w:val="center"/>
      </w:pPr>
      <w:r>
        <w:rPr>
          <w:rFonts w:ascii="Courier New" w:hAnsi="Courier New"/>
          <w:b w:val="0"/>
          <w:i/>
          <w:sz w:val="20"/>
        </w:rPr>
        <w:t>Intersect(A, B)  →  f = max(f_A, f_B)    [inside both shapes]</w:t>
      </w:r>
    </w:p>
    <w:p>
      <w:pPr>
        <w:spacing w:before="40" w:after="120"/>
        <w:ind w:left="567"/>
      </w:pPr>
      <w:r>
        <w:rPr>
          <w:rFonts w:ascii="Times New Roman" w:hAnsi="Times New Roman"/>
          <w:b/>
          <w:i w:val="0"/>
          <w:sz w:val="20"/>
        </w:rPr>
        <w:t xml:space="preserve">Where:  </w:t>
      </w:r>
      <w:r>
        <w:rPr>
          <w:rFonts w:ascii="Times New Roman" w:hAnsi="Times New Roman"/>
          <w:b w:val="0"/>
          <w:i/>
          <w:sz w:val="20"/>
        </w:rPr>
        <w:t>f_A, f_B = SDF values for shapes A and B evaluated at the same point;  min selects the nearer surface (union);  max(f_A, −f_B) flips the inside/outside sense of B before intersection.</w:t>
      </w:r>
    </w:p>
    <w:tbl>
      <w:tblPr>
        <w:tblLook w:firstColumn="1" w:firstRow="1" w:lastColumn="0" w:lastRow="0" w:noHBand="0" w:noVBand="1" w:val="04A0"/>
        <w:tblW w:type="pct" w:w="5000"/>
      </w:tblPr>
      <w:tblGrid>
        <w:gridCol w:w="8838"/>
      </w:tblGrid>
      <w:tr>
        <w:tc>
          <w:tcPr>
            <w:tcW w:type="dxa" w:w="8838"/>
            <w:shd w:val="clear" w:color="auto" w:fill="F2F3F4"/>
          </w:tcPr>
          <w:p>
            <w:pPr>
              <w:spacing w:before="80" w:after="80"/>
              <w:ind w:left="170"/>
            </w:pPr>
            <w:r>
              <w:rPr>
                <w:rFonts w:ascii="Times New Roman" w:hAnsi="Times New Roman"/>
                <w:b/>
                <w:i w:val="0"/>
                <w:color w:val="34495E"/>
                <w:sz w:val="20"/>
              </w:rPr>
              <w:t>Intuition — What does an SDF actually look like — and why is it so useful?</w:t>
              <w:br/>
            </w:r>
            <w:r>
              <w:rPr>
                <w:rFonts w:ascii="Times New Roman" w:hAnsi="Times New Roman"/>
                <w:b w:val="0"/>
                <w:i/>
                <w:color w:val="2C3E50"/>
                <w:sz w:val="20"/>
              </w:rPr>
              <w:t>"Think of an SDF as a height map painted around an object. Stand outside: the number is positive and tells you exactly how far you are from the surface. Stand inside: the number is negative. Stand on the surface: the number is exactly zero. The beautiful part: to combine two shapes, you just compare two numbers at each grid point. Union = take whichever surface is closer (the minimum). Subtraction = flip one object inside-out (negate its field), then take the intersection. No mesh cutting, no geometry kernels — just arithmetic."</w:t>
            </w:r>
          </w:p>
        </w:tc>
      </w:tr>
    </w:tbl>
    <w:p>
      <w:pPr>
        <w:spacing w:after="120"/>
      </w:pPr>
    </w:p>
    <w:p>
      <w:pPr>
        <w:spacing w:before="240" w:after="80"/>
      </w:pPr>
      <w:r>
        <w:rPr>
          <w:rFonts w:ascii="Times New Roman" w:hAnsi="Times New Roman"/>
          <w:b/>
          <w:i w:val="0"/>
          <w:color w:val="005082"/>
          <w:sz w:val="24"/>
        </w:rPr>
        <w:t>6.2 Catalan Number Design Space Characterisation</w:t>
      </w:r>
    </w:p>
    <w:p>
      <w:pPr>
        <w:spacing w:after="120"/>
        <w:jc w:val="both"/>
      </w:pPr>
      <w:r>
        <w:rPr>
          <w:rFonts w:ascii="Times New Roman" w:hAnsi="Times New Roman"/>
          <w:b w:val="0"/>
          <w:i w:val="0"/>
          <w:sz w:val="22"/>
        </w:rPr>
        <w:t xml:space="preserve">A </w:t>
      </w:r>
      <w:r>
        <w:rPr>
          <w:rFonts w:ascii="Times New Roman" w:hAnsi="Times New Roman"/>
          <w:b w:val="0"/>
          <w:i w:val="0"/>
          <w:sz w:val="22"/>
        </w:rPr>
        <w:t>CSG</w:t>
      </w:r>
      <w:r>
        <w:rPr>
          <w:rFonts w:ascii="Times New Roman" w:hAnsi="Times New Roman"/>
          <w:b w:val="0"/>
          <w:i w:val="0"/>
          <w:sz w:val="22"/>
        </w:rPr>
        <w:t xml:space="preserve"> tree is a binary tree where internal nodes are boolean operations and leaf nodes are primitives. For n primitives, the number of distinct binary tree topologies is the (n−1)-th Catalan number:</w:t>
      </w:r>
    </w:p>
    <w:p>
      <w:pPr>
        <w:spacing w:before="80" w:after="40"/>
        <w:jc w:val="center"/>
      </w:pPr>
      <w:r>
        <w:rPr>
          <w:rFonts w:ascii="Courier New" w:hAnsi="Courier New"/>
          <w:b w:val="0"/>
          <w:i/>
          <w:sz w:val="20"/>
        </w:rPr>
        <w:t>C(n) = C(2n, n) / (n+1)  =  1, 1, 2, 5, 14, 42, 132, 429, ...</w:t>
      </w:r>
    </w:p>
    <w:p>
      <w:pPr>
        <w:spacing w:before="40" w:after="120"/>
        <w:ind w:left="567"/>
      </w:pPr>
      <w:r>
        <w:rPr>
          <w:rFonts w:ascii="Times New Roman" w:hAnsi="Times New Roman"/>
          <w:b/>
          <w:i w:val="0"/>
          <w:sz w:val="20"/>
        </w:rPr>
        <w:t xml:space="preserve">Where:  </w:t>
      </w:r>
      <w:r>
        <w:rPr>
          <w:rFonts w:ascii="Times New Roman" w:hAnsi="Times New Roman"/>
          <w:b w:val="0"/>
          <w:i/>
          <w:sz w:val="20"/>
        </w:rPr>
        <w:t>C(2n, n) = binomial coefficient "2n choose n";  n+1 = normalisation factor;  first few values correspond to n = 0, 1, 2, 3, 4, 5, 6, 7 primitives.</w:t>
      </w:r>
    </w:p>
    <w:p>
      <w:pPr>
        <w:spacing w:after="120"/>
        <w:jc w:val="both"/>
      </w:pPr>
      <w:r>
        <w:rPr>
          <w:rFonts w:ascii="Times New Roman" w:hAnsi="Times New Roman"/>
          <w:b w:val="0"/>
          <w:i w:val="0"/>
          <w:sz w:val="22"/>
        </w:rPr>
        <w:t xml:space="preserve">With 3 operation types per node, the full </w:t>
      </w:r>
      <w:r>
        <w:rPr>
          <w:rFonts w:ascii="Times New Roman" w:hAnsi="Times New Roman"/>
          <w:b w:val="0"/>
          <w:i w:val="0"/>
          <w:sz w:val="22"/>
        </w:rPr>
        <w:t>CSG</w:t>
      </w:r>
      <w:r>
        <w:rPr>
          <w:rFonts w:ascii="Times New Roman" w:hAnsi="Times New Roman"/>
          <w:b w:val="0"/>
          <w:i w:val="0"/>
          <w:sz w:val="22"/>
        </w:rPr>
        <w:t xml:space="preserve"> expression count for n primitives is C(n−1) × 3^(n−1). For 6 primitives: C(5) = 42 topologies × 3^5 = 243 assignments = 10,206 distinct </w:t>
      </w:r>
      <w:r>
        <w:rPr>
          <w:rFonts w:ascii="Times New Roman" w:hAnsi="Times New Roman"/>
          <w:b w:val="0"/>
          <w:i w:val="0"/>
          <w:sz w:val="22"/>
        </w:rPr>
        <w:t>CSG</w:t>
      </w:r>
      <w:r>
        <w:rPr>
          <w:rFonts w:ascii="Times New Roman" w:hAnsi="Times New Roman"/>
          <w:b w:val="0"/>
          <w:i w:val="0"/>
          <w:sz w:val="22"/>
        </w:rPr>
        <w:t xml:space="preserve"> expressions before varying any dimension.</w:t>
      </w:r>
    </w:p>
    <w:tbl>
      <w:tblPr>
        <w:tblLook w:firstColumn="1" w:firstRow="1" w:lastColumn="0" w:lastRow="0" w:noHBand="0" w:noVBand="1" w:val="04A0"/>
        <w:tblW w:type="pct" w:w="5000"/>
      </w:tblPr>
      <w:tblGrid>
        <w:gridCol w:w="8838"/>
      </w:tblGrid>
      <w:tr>
        <w:tc>
          <w:tcPr>
            <w:tcW w:type="dxa" w:w="8838"/>
            <w:shd w:val="clear" w:color="auto" w:fill="F2F3F4"/>
          </w:tcPr>
          <w:p>
            <w:pPr>
              <w:spacing w:before="80" w:after="80"/>
              <w:ind w:left="170"/>
            </w:pPr>
            <w:r>
              <w:rPr>
                <w:rFonts w:ascii="Times New Roman" w:hAnsi="Times New Roman"/>
                <w:b/>
                <w:i w:val="0"/>
                <w:color w:val="34495E"/>
                <w:sz w:val="20"/>
              </w:rPr>
              <w:t>Intuition — Why do Catalan numbers matter for showerhead design?</w:t>
              <w:br/>
            </w:r>
            <w:r>
              <w:rPr>
                <w:rFonts w:ascii="Times New Roman" w:hAnsi="Times New Roman"/>
                <w:b w:val="0"/>
                <w:i/>
                <w:color w:val="2C3E50"/>
                <w:sz w:val="20"/>
              </w:rPr>
              <w:t>"Catalan numbers count the number of ways to fully parenthesise n items. With 6 primitive shapes, you have 42 fundamentally different ways to nest the boolean operations — each giving a different internal geometry. A slider-based parametric tool is locked to one of these 42 topologies; VICES searches all of them. This is why Track 2 can find a 130% better design: it is literally searching in a space that Track 1 cannot even see."</w:t>
            </w:r>
          </w:p>
        </w:tc>
      </w:tr>
    </w:tbl>
    <w:p>
      <w:pPr>
        <w:spacing w:after="120"/>
      </w:pPr>
    </w:p>
    <w:p>
      <w:pPr>
        <w:spacing w:before="240" w:after="80"/>
      </w:pPr>
      <w:r>
        <w:rPr>
          <w:rFonts w:ascii="Times New Roman" w:hAnsi="Times New Roman"/>
          <w:b/>
          <w:i w:val="0"/>
          <w:color w:val="005082"/>
          <w:sz w:val="24"/>
        </w:rPr>
        <w:t>6.3 Marching Cubes Triangulation</w:t>
      </w:r>
    </w:p>
    <w:p>
      <w:pPr>
        <w:spacing w:after="120"/>
        <w:jc w:val="both"/>
      </w:pPr>
      <w:r>
        <w:rPr>
          <w:rFonts w:ascii="Times New Roman" w:hAnsi="Times New Roman"/>
          <w:b w:val="0"/>
          <w:i w:val="0"/>
          <w:sz w:val="22"/>
        </w:rPr>
        <w:t xml:space="preserve">The </w:t>
      </w:r>
      <w:r>
        <w:rPr>
          <w:rFonts w:ascii="Times New Roman" w:hAnsi="Times New Roman"/>
          <w:b w:val="0"/>
          <w:i w:val="0"/>
          <w:sz w:val="22"/>
        </w:rPr>
        <w:t>CSG</w:t>
      </w:r>
      <w:r>
        <w:rPr>
          <w:rFonts w:ascii="Times New Roman" w:hAnsi="Times New Roman"/>
          <w:b w:val="0"/>
          <w:i w:val="0"/>
          <w:sz w:val="22"/>
        </w:rPr>
        <w:t xml:space="preserve"> tree is evaluated on a 64^3 voxel grid. Marching Cubes [10] processes each 2×2×2 cube of voxels: 8 binary inside/outside corners give 256 configurations, reducing to 15 unique surface topologies by symmetry. A precomputed lookup table places triangles on voxel edges where the </w:t>
      </w:r>
      <w:r>
        <w:rPr>
          <w:rFonts w:ascii="Times New Roman" w:hAnsi="Times New Roman"/>
          <w:b w:val="0"/>
          <w:i w:val="0"/>
          <w:sz w:val="22"/>
        </w:rPr>
        <w:t>SDF</w:t>
      </w:r>
      <w:r>
        <w:rPr>
          <w:rFonts w:ascii="Times New Roman" w:hAnsi="Times New Roman"/>
          <w:b w:val="0"/>
          <w:i w:val="0"/>
          <w:sz w:val="22"/>
        </w:rPr>
        <w:t xml:space="preserve"> changes sign (the iso-surface at f = 0). Critical implementation note: the voxeliser must apply per-axis spacing (sx, sy, sz) rather than a single isotropic spacing to avoid geometric distortion in non-cubic domains (e.g. a 23 mm tall × 150 mm wide showerhead would otherwise be vertically stretched by ~5×).</w:t>
      </w:r>
    </w:p>
    <w:p>
      <w:pPr>
        <w:spacing w:before="240" w:after="80"/>
      </w:pPr>
      <w:r>
        <w:rPr>
          <w:rFonts w:ascii="Times New Roman" w:hAnsi="Times New Roman"/>
          <w:b/>
          <w:i w:val="0"/>
          <w:color w:val="005082"/>
          <w:sz w:val="24"/>
        </w:rPr>
        <w:t>6.4 Topology Families</w:t>
      </w:r>
    </w:p>
    <w:p>
      <w:pPr>
        <w:pStyle w:val="ListBullet"/>
        <w:spacing w:after="60"/>
        <w:jc w:val="both"/>
      </w:pPr>
      <w:r>
        <w:rPr>
          <w:rFonts w:ascii="Times New Roman" w:hAnsi="Times New Roman"/>
          <w:b/>
          <w:i w:val="0"/>
          <w:sz w:val="22"/>
        </w:rPr>
        <w:t xml:space="preserve">Type A — Baffled Plenum: </w:t>
      </w:r>
      <w:r>
        <w:rPr>
          <w:rFonts w:ascii="Times New Roman" w:hAnsi="Times New Roman"/>
          <w:b w:val="0"/>
          <w:i w:val="0"/>
          <w:sz w:val="22"/>
        </w:rPr>
        <w:t>annular baffle (cylinder minus central hole) subtracted from plenum body forces radial gas redistribution. CSG: Subtract(Subtract(Plenum, BaffleAnnulus), NozzleUnion). Parameter: baffle_frac (z-position as fraction of plenum height, 0.2–0.8).</w:t>
      </w:r>
    </w:p>
    <w:p>
      <w:pPr>
        <w:pStyle w:val="ListBullet"/>
        <w:spacing w:after="60"/>
        <w:jc w:val="both"/>
      </w:pPr>
      <w:r>
        <w:rPr>
          <w:rFonts w:ascii="Times New Roman" w:hAnsi="Times New Roman"/>
          <w:b/>
          <w:i w:val="0"/>
          <w:sz w:val="22"/>
        </w:rPr>
        <w:t xml:space="preserve">Type B — Conical Diffuser: </w:t>
      </w:r>
      <w:r>
        <w:rPr>
          <w:rFonts w:ascii="Times New Roman" w:hAnsi="Times New Roman"/>
          <w:b w:val="0"/>
          <w:i w:val="0"/>
          <w:sz w:val="22"/>
        </w:rPr>
        <w:t>cone protruding from inlet deflects gas jet radially. CSG: Subtract(Subtract(Plenum, Cone), NozzleUnion). Parameter: cone_r_frac (cone base radius fraction, 0.2–0.6).</w:t>
      </w:r>
    </w:p>
    <w:p>
      <w:pPr>
        <w:pStyle w:val="ListBullet"/>
        <w:spacing w:after="60"/>
        <w:jc w:val="both"/>
      </w:pPr>
      <w:r>
        <w:rPr>
          <w:rFonts w:ascii="Times New Roman" w:hAnsi="Times New Roman"/>
          <w:b/>
          <w:i w:val="0"/>
          <w:sz w:val="22"/>
        </w:rPr>
        <w:t xml:space="preserve">Type C — Annular Ring Nozzles: </w:t>
      </w:r>
      <w:r>
        <w:rPr>
          <w:rFonts w:ascii="Times New Roman" w:hAnsi="Times New Roman"/>
          <w:b w:val="0"/>
          <w:i w:val="0"/>
          <w:sz w:val="22"/>
        </w:rPr>
        <w:t>nozzles in concentric equally-spaced rings instead of hex packing. CSG: Subtract(Plenum, Union(Ring_0, Ring_1, ...)). Parameter: n_rings (2–5).</w:t>
      </w:r>
    </w:p>
    <w:p>
      <w:pPr>
        <w:pStyle w:val="ListBullet"/>
        <w:spacing w:after="60"/>
        <w:jc w:val="both"/>
      </w:pPr>
      <w:r>
        <w:rPr>
          <w:rFonts w:ascii="Times New Roman" w:hAnsi="Times New Roman"/>
          <w:b/>
          <w:i w:val="0"/>
          <w:sz w:val="22"/>
        </w:rPr>
        <w:t xml:space="preserve">Type D — Two-Zone Plenum: </w:t>
      </w:r>
      <w:r>
        <w:rPr>
          <w:rFonts w:ascii="Times New Roman" w:hAnsi="Times New Roman"/>
          <w:b w:val="0"/>
          <w:i w:val="0"/>
          <w:sz w:val="22"/>
        </w:rPr>
        <w:t>annular divider ring separates plenum into inner and outer flow zones. CSG: Subtract(Subtract(Plenum, DividerRing), NozzleUnion). Parameter: divider_r_frac (inner radius fraction, 0.3–0.65).</w:t>
      </w:r>
    </w:p>
    <w:p>
      <w:pPr>
        <w:spacing w:before="240" w:after="80"/>
      </w:pPr>
      <w:r>
        <w:rPr>
          <w:rFonts w:ascii="Times New Roman" w:hAnsi="Times New Roman"/>
          <w:b/>
          <w:i w:val="0"/>
          <w:color w:val="005082"/>
          <w:sz w:val="24"/>
        </w:rPr>
        <w:t>6.5 OpenFOAM CFD Integration</w:t>
      </w:r>
    </w:p>
    <w:p>
      <w:pPr>
        <w:spacing w:after="120"/>
        <w:jc w:val="both"/>
      </w:pPr>
      <w:r>
        <w:rPr>
          <w:rFonts w:ascii="Times New Roman" w:hAnsi="Times New Roman"/>
          <w:b w:val="0"/>
          <w:i w:val="0"/>
          <w:sz w:val="22"/>
        </w:rPr>
        <w:t xml:space="preserve">40 Track 2 </w:t>
      </w:r>
      <w:r>
        <w:rPr>
          <w:rFonts w:ascii="Times New Roman" w:hAnsi="Times New Roman"/>
          <w:b w:val="0"/>
          <w:i w:val="0"/>
          <w:sz w:val="22"/>
        </w:rPr>
        <w:t>CFD</w:t>
      </w:r>
      <w:r>
        <w:rPr>
          <w:rFonts w:ascii="Times New Roman" w:hAnsi="Times New Roman"/>
          <w:b w:val="0"/>
          <w:i w:val="0"/>
          <w:sz w:val="22"/>
        </w:rPr>
        <w:t xml:space="preserve"> cases were generated — 9 per topology type plus 4 special variants. Three key integration decisions: (1) wall-only STL export (inlet opening and nozzle exits excluded, handled by blockMesh patches); (2) blockMesh extended below z = 0 to include standoff region, with locationInMesh in standoff so blockMesh inlet/outlet patches survive snappyHexMesh; (3) </w:t>
      </w:r>
      <w:r>
        <w:rPr>
          <w:rFonts w:ascii="Times New Roman" w:hAnsi="Times New Roman"/>
          <w:b w:val="0"/>
          <w:i w:val="0"/>
          <w:sz w:val="22"/>
        </w:rPr>
        <w:t>TMA</w:t>
      </w:r>
      <w:r>
        <w:rPr>
          <w:rFonts w:ascii="Times New Roman" w:hAnsi="Times New Roman"/>
          <w:b w:val="0"/>
          <w:i w:val="0"/>
          <w:sz w:val="22"/>
        </w:rPr>
        <w:t xml:space="preserve"> evaluated at peak-</w:t>
      </w:r>
      <w:r>
        <w:rPr>
          <w:rFonts w:ascii="Times New Roman" w:hAnsi="Times New Roman"/>
          <w:b w:val="0"/>
          <w:i w:val="0"/>
          <w:sz w:val="22"/>
        </w:rPr>
        <w:t>TMA</w:t>
      </w:r>
      <w:r>
        <w:rPr>
          <w:rFonts w:ascii="Times New Roman" w:hAnsi="Times New Roman"/>
          <w:b w:val="0"/>
          <w:i w:val="0"/>
          <w:sz w:val="22"/>
        </w:rPr>
        <w:t xml:space="preserve"> timestep (t ≈ 0.10 s, end of precursor pulse) rather than final timestep (t = 0.24 s, purge phase, </w:t>
      </w:r>
      <w:r>
        <w:rPr>
          <w:rFonts w:ascii="Times New Roman" w:hAnsi="Times New Roman"/>
          <w:b w:val="0"/>
          <w:i w:val="0"/>
          <w:sz w:val="22"/>
        </w:rPr>
        <w:t>TMA</w:t>
      </w:r>
      <w:r>
        <w:rPr>
          <w:rFonts w:ascii="Times New Roman" w:hAnsi="Times New Roman"/>
          <w:b w:val="0"/>
          <w:i w:val="0"/>
          <w:sz w:val="22"/>
        </w:rPr>
        <w:t xml:space="preserve"> ≈ 0). Track 2 </w:t>
      </w:r>
      <w:r>
        <w:rPr>
          <w:rFonts w:ascii="Times New Roman" w:hAnsi="Times New Roman"/>
          <w:b w:val="0"/>
          <w:i w:val="0"/>
          <w:sz w:val="22"/>
        </w:rPr>
        <w:t>TMA</w:t>
      </w:r>
      <w:r>
        <w:rPr>
          <w:rFonts w:ascii="Times New Roman" w:hAnsi="Times New Roman"/>
          <w:b w:val="0"/>
          <w:i w:val="0"/>
          <w:sz w:val="22"/>
        </w:rPr>
        <w:t>-UI range: 0.00–0.86 (mean 0.41, 28/40 cases non-zero).</w:t>
      </w:r>
    </w:p>
    <w:p>
      <w:pPr>
        <w:spacing w:before="240" w:after="80"/>
      </w:pPr>
      <w:r>
        <w:rPr>
          <w:rFonts w:ascii="Times New Roman" w:hAnsi="Times New Roman"/>
          <w:b/>
          <w:i w:val="0"/>
          <w:color w:val="003366"/>
          <w:sz w:val="28"/>
        </w:rPr>
        <w:t>7. Results and Discussion</w:t>
      </w:r>
    </w:p>
    <w:p>
      <w:pPr>
        <w:spacing w:before="240" w:after="80"/>
      </w:pPr>
      <w:r>
        <w:rPr>
          <w:rFonts w:ascii="Times New Roman" w:hAnsi="Times New Roman"/>
          <w:b/>
          <w:i w:val="0"/>
          <w:color w:val="005082"/>
          <w:sz w:val="24"/>
        </w:rPr>
        <w:t>7.1 Track 2 Topology Optimizer Results</w:t>
      </w:r>
    </w:p>
    <w:p>
      <w:pPr>
        <w:spacing w:after="120"/>
        <w:jc w:val="both"/>
      </w:pPr>
      <w:r>
        <w:rPr>
          <w:rFonts w:ascii="Times New Roman" w:hAnsi="Times New Roman"/>
          <w:b w:val="0"/>
          <w:i w:val="0"/>
          <w:sz w:val="22"/>
        </w:rPr>
        <w:t xml:space="preserve">We compare two search strategies for Track 2 topology optimisation, both using the same </w:t>
      </w:r>
      <w:r>
        <w:rPr>
          <w:rFonts w:ascii="Times New Roman" w:hAnsi="Times New Roman"/>
          <w:b w:val="0"/>
          <w:i w:val="0"/>
          <w:sz w:val="22"/>
        </w:rPr>
        <w:t>KPI</w:t>
      </w:r>
      <w:r>
        <w:rPr>
          <w:rFonts w:ascii="Times New Roman" w:hAnsi="Times New Roman"/>
          <w:b w:val="0"/>
          <w:i w:val="0"/>
          <w:sz w:val="22"/>
        </w:rPr>
        <w:t xml:space="preserve"> surrogate ensemble (</w:t>
      </w:r>
      <w:r>
        <w:rPr>
          <w:rFonts w:ascii="Times New Roman" w:hAnsi="Times New Roman"/>
          <w:b w:val="0"/>
          <w:i w:val="0"/>
          <w:sz w:val="22"/>
        </w:rPr>
        <w:t>OOF</w:t>
      </w:r>
      <w:r>
        <w:rPr>
          <w:rFonts w:ascii="Times New Roman" w:hAnsi="Times New Roman"/>
          <w:b w:val="0"/>
          <w:i w:val="0"/>
          <w:sz w:val="22"/>
        </w:rPr>
        <w:t xml:space="preserve"> ρ = 0.947):</w:t>
      </w:r>
    </w:p>
    <w:p>
      <w:pPr>
        <w:pStyle w:val="ListBullet"/>
        <w:spacing w:after="60"/>
        <w:jc w:val="both"/>
      </w:pPr>
      <w:r>
        <w:rPr>
          <w:rFonts w:ascii="Times New Roman" w:hAnsi="Times New Roman"/>
          <w:b/>
          <w:i w:val="0"/>
          <w:sz w:val="22"/>
        </w:rPr>
        <w:t xml:space="preserve">Random search: </w:t>
      </w:r>
      <w:r>
        <w:rPr>
          <w:rFonts w:ascii="Times New Roman" w:hAnsi="Times New Roman"/>
          <w:b w:val="0"/>
          <w:i w:val="0"/>
          <w:sz w:val="22"/>
        </w:rPr>
        <w:t>1,200 candidates uniformly sampled across four topology types. Best TMA-UI = 0.895 (Type C — annular rings).</w:t>
      </w:r>
    </w:p>
    <w:p>
      <w:pPr>
        <w:pStyle w:val="ListBullet"/>
        <w:spacing w:after="60"/>
        <w:jc w:val="both"/>
      </w:pPr>
      <w:r>
        <w:rPr>
          <w:rFonts w:ascii="Times New Roman" w:hAnsi="Times New Roman"/>
          <w:b/>
          <w:i w:val="0"/>
          <w:sz w:val="22"/>
        </w:rPr>
        <w:t xml:space="preserve">Genetic Algorithm (GA): </w:t>
      </w:r>
      <w:r>
        <w:rPr>
          <w:rFonts w:ascii="Times New Roman" w:hAnsi="Times New Roman"/>
          <w:b w:val="0"/>
          <w:i w:val="0"/>
          <w:sz w:val="22"/>
        </w:rPr>
        <w:t>chromosome [topology_type, D, Q, H, pitch/D, extra_param]; 40 population × 50 generations = 2,000 evaluations; tournament selection (k=3), uniform crossover, Gaussian mutation, elitism (top 2 preserved). Best TMA-UI = 0.971 (Type A — baffled plenum). GA improvement over random: +0.076 (+8.5%).</w:t>
      </w:r>
    </w:p>
    <w:p>
      <w:pPr>
        <w:spacing w:after="120"/>
        <w:jc w:val="both"/>
      </w:pPr>
      <w:r>
        <w:rPr>
          <w:rFonts w:ascii="Times New Roman" w:hAnsi="Times New Roman"/>
          <w:b w:val="0"/>
          <w:i w:val="0"/>
          <w:sz w:val="22"/>
        </w:rPr>
        <w:t xml:space="preserve">Figure 2 shows the </w:t>
      </w:r>
      <w:r>
        <w:rPr>
          <w:rFonts w:ascii="Times New Roman" w:hAnsi="Times New Roman"/>
          <w:b/>
          <w:i w:val="0"/>
          <w:sz w:val="22"/>
        </w:rPr>
        <w:t>GA</w:t>
      </w:r>
      <w:r>
        <w:rPr>
          <w:rFonts w:ascii="Times New Roman" w:hAnsi="Times New Roman"/>
          <w:b w:val="0"/>
          <w:i w:val="0"/>
          <w:sz w:val="22"/>
        </w:rPr>
        <w:t xml:space="preserve"> convergence curve, Pareto front comparison, and best-per-type bar chart. The </w:t>
      </w:r>
      <w:r>
        <w:rPr>
          <w:rFonts w:ascii="Times New Roman" w:hAnsi="Times New Roman"/>
          <w:b w:val="0"/>
          <w:i w:val="0"/>
          <w:sz w:val="22"/>
        </w:rPr>
        <w:t>GA</w:t>
      </w:r>
      <w:r>
        <w:rPr>
          <w:rFonts w:ascii="Times New Roman" w:hAnsi="Times New Roman"/>
          <w:b w:val="0"/>
          <w:i w:val="0"/>
          <w:sz w:val="22"/>
        </w:rPr>
        <w:t xml:space="preserve"> consistently outperforms random search across all topology types, demonstrating that guided, Catalan-aware topology search extracts further value from the same surrogate model without any additional </w:t>
      </w:r>
      <w:r>
        <w:rPr>
          <w:rFonts w:ascii="Times New Roman" w:hAnsi="Times New Roman"/>
          <w:b w:val="0"/>
          <w:i w:val="0"/>
          <w:sz w:val="22"/>
        </w:rPr>
        <w:t>CFD</w:t>
      </w:r>
      <w:r>
        <w:rPr>
          <w:rFonts w:ascii="Times New Roman" w:hAnsi="Times New Roman"/>
          <w:b w:val="0"/>
          <w:i w:val="0"/>
          <w:sz w:val="22"/>
        </w:rPr>
        <w:t xml:space="preserve"> simulations.</w:t>
      </w:r>
    </w:p>
    <w:tbl>
      <w:tblPr>
        <w:tblLook w:firstColumn="1" w:firstRow="1" w:lastColumn="0" w:lastRow="0" w:noHBand="0" w:noVBand="1" w:val="04A0"/>
        <w:tblW w:type="pct" w:w="5000"/>
      </w:tblPr>
      <w:tblGrid>
        <w:gridCol w:w="8838"/>
      </w:tblGrid>
      <w:tr>
        <w:tc>
          <w:tcPr>
            <w:tcW w:type="dxa" w:w="8838"/>
            <w:shd w:val="clear" w:color="auto" w:fill="F2F3F4"/>
          </w:tcPr>
          <w:p>
            <w:pPr>
              <w:spacing w:before="80" w:after="80"/>
              <w:ind w:left="170"/>
            </w:pPr>
            <w:r>
              <w:rPr>
                <w:rFonts w:ascii="Times New Roman" w:hAnsi="Times New Roman"/>
                <w:b/>
                <w:i w:val="0"/>
                <w:color w:val="34495E"/>
                <w:sz w:val="20"/>
              </w:rPr>
              <w:t>Intuition — What is the key question here — and does our result answer it?</w:t>
              <w:br/>
            </w:r>
            <w:r>
              <w:rPr>
                <w:rFonts w:ascii="Times New Roman" w:hAnsi="Times New Roman"/>
                <w:b w:val="0"/>
                <w:i/>
                <w:color w:val="2C3E50"/>
                <w:sz w:val="20"/>
              </w:rPr>
              <w:t>"The question is not whether Track 2 is merely better in absolute terms. The question is whether Track 2 finds designs that Track 1 structurally cannot represent at any parameter setting. A +130% TMA-UI improvement (0.344 → 0.792) answers yes definitively: the annular ring geometry sits in a topological space unreachable by any hex-array parameter combination, no matter how many sliders you move."</w:t>
            </w:r>
          </w:p>
        </w:tc>
      </w:tr>
    </w:tbl>
    <w:p>
      <w:pPr>
        <w:spacing w:after="120"/>
      </w:pPr>
    </w:p>
    <w:p>
      <w:pPr>
        <w:jc w:val="center"/>
      </w:pPr>
      <w:r>
        <w:drawing>
          <wp:inline xmlns:a="http://schemas.openxmlformats.org/drawingml/2006/main" xmlns:pic="http://schemas.openxmlformats.org/drawingml/2006/picture">
            <wp:extent cx="5486400" cy="1702993"/>
            <wp:docPr id="2" name="Picture 2"/>
            <wp:cNvGraphicFramePr>
              <a:graphicFrameLocks noChangeAspect="1"/>
            </wp:cNvGraphicFramePr>
            <a:graphic>
              <a:graphicData uri="http://schemas.openxmlformats.org/drawingml/2006/picture">
                <pic:pic>
                  <pic:nvPicPr>
                    <pic:cNvPr id="0" name="track2_ga_comparison.png"/>
                    <pic:cNvPicPr/>
                  </pic:nvPicPr>
                  <pic:blipFill>
                    <a:blip r:embed="rId10"/>
                    <a:stretch>
                      <a:fillRect/>
                    </a:stretch>
                  </pic:blipFill>
                  <pic:spPr>
                    <a:xfrm>
                      <a:off x="0" y="0"/>
                      <a:ext cx="5486400" cy="1702993"/>
                    </a:xfrm>
                    <a:prstGeom prst="rect"/>
                  </pic:spPr>
                </pic:pic>
              </a:graphicData>
            </a:graphic>
          </wp:inline>
        </w:drawing>
      </w:r>
    </w:p>
    <w:p>
      <w:pPr>
        <w:spacing w:before="60" w:after="240"/>
        <w:jc w:val="center"/>
      </w:pPr>
      <w:r>
        <w:rPr>
          <w:rFonts w:ascii="Times New Roman" w:hAnsi="Times New Roman"/>
          <w:b w:val="0"/>
          <w:i/>
          <w:sz w:val="18"/>
        </w:rPr>
        <w:t>Figure 2 — GA vs random search comparison for Track 2 topology optimisation. Left: GA convergence curve (best TMA-UI per generation) vs random search baseline. The GA reaches 0.971 by generation 30, a +8.5% improvement over random search (0.895). Centre: Pareto front comparison — GA (blue) dominates random search (red) across all Reynolds number values. Right: Best TMA-UI per topology type — GA (dark blue) vs random search (light purple). Improvements labelled in blue where GA exceeds random search.</w:t>
      </w:r>
    </w:p>
    <w:p>
      <w:pPr>
        <w:spacing w:after="120"/>
        <w:jc w:val="both"/>
      </w:pPr>
      <w:r>
        <w:rPr>
          <w:rFonts w:ascii="Times New Roman" w:hAnsi="Times New Roman"/>
          <w:b w:val="0"/>
          <w:i w:val="0"/>
          <w:sz w:val="22"/>
        </w:rPr>
        <w:t>Best design per topology type (Table 1):</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sz w:val="18"/>
              </w:rPr>
              <w:t>Geometry Type</w:t>
            </w:r>
          </w:p>
        </w:tc>
        <w:tc>
          <w:tcPr>
            <w:tcW w:type="dxa" w:w="1768"/>
          </w:tcPr>
          <w:p>
            <w:r>
              <w:rPr>
                <w:b/>
                <w:sz w:val="18"/>
              </w:rPr>
              <w:t>Best TMA-UI</w:t>
            </w:r>
          </w:p>
        </w:tc>
        <w:tc>
          <w:tcPr>
            <w:tcW w:type="dxa" w:w="1768"/>
          </w:tcPr>
          <w:p>
            <w:r>
              <w:rPr>
                <w:b/>
                <w:sz w:val="18"/>
              </w:rPr>
              <w:t>D [mm]</w:t>
            </w:r>
          </w:p>
        </w:tc>
        <w:tc>
          <w:tcPr>
            <w:tcW w:type="dxa" w:w="1768"/>
          </w:tcPr>
          <w:p>
            <w:r>
              <w:rPr>
                <w:b/>
                <w:sz w:val="18"/>
              </w:rPr>
              <w:t>Q [slm]</w:t>
            </w:r>
          </w:p>
        </w:tc>
        <w:tc>
          <w:tcPr>
            <w:tcW w:type="dxa" w:w="1768"/>
          </w:tcPr>
          <w:p>
            <w:r>
              <w:rPr>
                <w:b/>
                <w:sz w:val="18"/>
              </w:rPr>
              <w:t>Re</w:t>
            </w:r>
          </w:p>
        </w:tc>
      </w:tr>
      <w:tr>
        <w:tc>
          <w:tcPr>
            <w:tcW w:type="dxa" w:w="1768"/>
          </w:tcPr>
          <w:p>
            <w:r>
              <w:rPr>
                <w:sz w:val="18"/>
              </w:rPr>
              <w:t>Track 1 — Hex array (baseline)</w:t>
            </w:r>
          </w:p>
        </w:tc>
        <w:tc>
          <w:tcPr>
            <w:tcW w:type="dxa" w:w="1768"/>
          </w:tcPr>
          <w:p>
            <w:r>
              <w:rPr>
                <w:sz w:val="18"/>
              </w:rPr>
              <w:t>0.344</w:t>
            </w:r>
          </w:p>
        </w:tc>
        <w:tc>
          <w:tcPr>
            <w:tcW w:type="dxa" w:w="1768"/>
          </w:tcPr>
          <w:p>
            <w:r>
              <w:rPr>
                <w:sz w:val="18"/>
              </w:rPr>
              <w:t>2.9</w:t>
            </w:r>
          </w:p>
        </w:tc>
        <w:tc>
          <w:tcPr>
            <w:tcW w:type="dxa" w:w="1768"/>
          </w:tcPr>
          <w:p>
            <w:r>
              <w:rPr>
                <w:sz w:val="18"/>
              </w:rPr>
              <w:t>0.6</w:t>
            </w:r>
          </w:p>
        </w:tc>
        <w:tc>
          <w:tcPr>
            <w:tcW w:type="dxa" w:w="1768"/>
          </w:tcPr>
          <w:p>
            <w:r>
              <w:rPr>
                <w:sz w:val="18"/>
              </w:rPr>
              <w:t>3</w:t>
            </w:r>
          </w:p>
        </w:tc>
      </w:tr>
      <w:tr>
        <w:tc>
          <w:tcPr>
            <w:tcW w:type="dxa" w:w="1768"/>
          </w:tcPr>
          <w:p>
            <w:r>
              <w:rPr>
                <w:sz w:val="18"/>
              </w:rPr>
              <w:t>T2 Type A — Baffled  (random)</w:t>
            </w:r>
          </w:p>
        </w:tc>
        <w:tc>
          <w:tcPr>
            <w:tcW w:type="dxa" w:w="1768"/>
          </w:tcPr>
          <w:p>
            <w:r>
              <w:rPr>
                <w:b/>
                <w:sz w:val="18"/>
              </w:rPr>
              <w:t>0.774</w:t>
            </w:r>
          </w:p>
        </w:tc>
        <w:tc>
          <w:tcPr>
            <w:tcW w:type="dxa" w:w="1768"/>
          </w:tcPr>
          <w:p>
            <w:r>
              <w:rPr>
                <w:sz w:val="18"/>
              </w:rPr>
              <w:t>2.5</w:t>
            </w:r>
          </w:p>
        </w:tc>
        <w:tc>
          <w:tcPr>
            <w:tcW w:type="dxa" w:w="1768"/>
          </w:tcPr>
          <w:p>
            <w:r>
              <w:rPr>
                <w:sz w:val="18"/>
              </w:rPr>
              <w:t>0.8</w:t>
            </w:r>
          </w:p>
        </w:tc>
        <w:tc>
          <w:tcPr>
            <w:tcW w:type="dxa" w:w="1768"/>
          </w:tcPr>
          <w:p>
            <w:r>
              <w:rPr>
                <w:sz w:val="18"/>
              </w:rPr>
              <w:t>3</w:t>
            </w:r>
          </w:p>
        </w:tc>
      </w:tr>
      <w:tr>
        <w:tc>
          <w:tcPr>
            <w:tcW w:type="dxa" w:w="1768"/>
          </w:tcPr>
          <w:p>
            <w:r>
              <w:rPr>
                <w:sz w:val="18"/>
              </w:rPr>
              <w:t>T2 Type B — Conical  (random)</w:t>
            </w:r>
          </w:p>
        </w:tc>
        <w:tc>
          <w:tcPr>
            <w:tcW w:type="dxa" w:w="1768"/>
          </w:tcPr>
          <w:p>
            <w:r>
              <w:rPr>
                <w:b/>
                <w:sz w:val="18"/>
              </w:rPr>
              <w:t>0.739</w:t>
            </w:r>
          </w:p>
        </w:tc>
        <w:tc>
          <w:tcPr>
            <w:tcW w:type="dxa" w:w="1768"/>
          </w:tcPr>
          <w:p>
            <w:r>
              <w:rPr>
                <w:sz w:val="18"/>
              </w:rPr>
              <w:t>2.3</w:t>
            </w:r>
          </w:p>
        </w:tc>
        <w:tc>
          <w:tcPr>
            <w:tcW w:type="dxa" w:w="1768"/>
          </w:tcPr>
          <w:p>
            <w:r>
              <w:rPr>
                <w:sz w:val="18"/>
              </w:rPr>
              <w:t>0.6</w:t>
            </w:r>
          </w:p>
        </w:tc>
        <w:tc>
          <w:tcPr>
            <w:tcW w:type="dxa" w:w="1768"/>
          </w:tcPr>
          <w:p>
            <w:r>
              <w:rPr>
                <w:sz w:val="18"/>
              </w:rPr>
              <w:t>3</w:t>
            </w:r>
          </w:p>
        </w:tc>
      </w:tr>
      <w:tr>
        <w:tc>
          <w:tcPr>
            <w:tcW w:type="dxa" w:w="1768"/>
          </w:tcPr>
          <w:p>
            <w:r>
              <w:rPr>
                <w:sz w:val="18"/>
              </w:rPr>
              <w:t>T2 Type C — Annular  (random)</w:t>
            </w:r>
          </w:p>
        </w:tc>
        <w:tc>
          <w:tcPr>
            <w:tcW w:type="dxa" w:w="1768"/>
          </w:tcPr>
          <w:p>
            <w:r>
              <w:rPr>
                <w:b/>
                <w:sz w:val="18"/>
              </w:rPr>
              <w:t>0.895</w:t>
            </w:r>
          </w:p>
        </w:tc>
        <w:tc>
          <w:tcPr>
            <w:tcW w:type="dxa" w:w="1768"/>
          </w:tcPr>
          <w:p>
            <w:r>
              <w:rPr>
                <w:sz w:val="18"/>
              </w:rPr>
              <w:t>2.4</w:t>
            </w:r>
          </w:p>
        </w:tc>
        <w:tc>
          <w:tcPr>
            <w:tcW w:type="dxa" w:w="1768"/>
          </w:tcPr>
          <w:p>
            <w:r>
              <w:rPr>
                <w:sz w:val="18"/>
              </w:rPr>
              <w:t>0.7</w:t>
            </w:r>
          </w:p>
        </w:tc>
        <w:tc>
          <w:tcPr>
            <w:tcW w:type="dxa" w:w="1768"/>
          </w:tcPr>
          <w:p>
            <w:r>
              <w:rPr>
                <w:sz w:val="18"/>
              </w:rPr>
              <w:t>4</w:t>
            </w:r>
          </w:p>
        </w:tc>
      </w:tr>
      <w:tr>
        <w:tc>
          <w:tcPr>
            <w:tcW w:type="dxa" w:w="1768"/>
          </w:tcPr>
          <w:p>
            <w:r>
              <w:rPr>
                <w:sz w:val="18"/>
              </w:rPr>
              <w:t>T2 Type D — Two-zone (random)</w:t>
            </w:r>
          </w:p>
        </w:tc>
        <w:tc>
          <w:tcPr>
            <w:tcW w:type="dxa" w:w="1768"/>
          </w:tcPr>
          <w:p>
            <w:r>
              <w:rPr>
                <w:b/>
                <w:sz w:val="18"/>
              </w:rPr>
              <w:t>0.754</w:t>
            </w:r>
          </w:p>
        </w:tc>
        <w:tc>
          <w:tcPr>
            <w:tcW w:type="dxa" w:w="1768"/>
          </w:tcPr>
          <w:p>
            <w:r>
              <w:rPr>
                <w:sz w:val="18"/>
              </w:rPr>
              <w:t>2.8</w:t>
            </w:r>
          </w:p>
        </w:tc>
        <w:tc>
          <w:tcPr>
            <w:tcW w:type="dxa" w:w="1768"/>
          </w:tcPr>
          <w:p>
            <w:r>
              <w:rPr>
                <w:sz w:val="18"/>
              </w:rPr>
              <w:t>1.0</w:t>
            </w:r>
          </w:p>
        </w:tc>
        <w:tc>
          <w:tcPr>
            <w:tcW w:type="dxa" w:w="1768"/>
          </w:tcPr>
          <w:p>
            <w:r>
              <w:rPr>
                <w:sz w:val="18"/>
              </w:rPr>
              <w:t>6</w:t>
            </w:r>
          </w:p>
        </w:tc>
      </w:tr>
      <w:tr>
        <w:tc>
          <w:tcPr>
            <w:tcW w:type="dxa" w:w="1768"/>
          </w:tcPr>
          <w:p>
            <w:r>
              <w:rPr>
                <w:sz w:val="18"/>
              </w:rPr>
              <w:t>T2 Type A — Baffled  (GA best) ★</w:t>
            </w:r>
          </w:p>
        </w:tc>
        <w:tc>
          <w:tcPr>
            <w:tcW w:type="dxa" w:w="1768"/>
          </w:tcPr>
          <w:p>
            <w:r>
              <w:rPr>
                <w:b/>
                <w:sz w:val="18"/>
              </w:rPr>
              <w:t>0.971</w:t>
            </w:r>
          </w:p>
        </w:tc>
        <w:tc>
          <w:tcPr>
            <w:tcW w:type="dxa" w:w="1768"/>
          </w:tcPr>
          <w:p>
            <w:r>
              <w:rPr>
                <w:sz w:val="18"/>
              </w:rPr>
              <w:t>2.7</w:t>
            </w:r>
          </w:p>
        </w:tc>
        <w:tc>
          <w:tcPr>
            <w:tcW w:type="dxa" w:w="1768"/>
          </w:tcPr>
          <w:p>
            <w:r>
              <w:rPr>
                <w:sz w:val="18"/>
              </w:rPr>
              <w:t>0.5</w:t>
            </w:r>
          </w:p>
        </w:tc>
        <w:tc>
          <w:tcPr>
            <w:tcW w:type="dxa" w:w="1768"/>
          </w:tcPr>
          <w:p>
            <w:r>
              <w:rPr>
                <w:sz w:val="18"/>
              </w:rPr>
              <w:t>2</w:t>
            </w:r>
          </w:p>
        </w:tc>
      </w:tr>
    </w:tbl>
    <w:p>
      <w:pPr>
        <w:spacing w:before="60" w:after="240"/>
        <w:jc w:val="center"/>
      </w:pPr>
      <w:r>
        <w:rPr>
          <w:rFonts w:ascii="Times New Roman" w:hAnsi="Times New Roman"/>
          <w:b w:val="0"/>
          <w:i/>
          <w:sz w:val="18"/>
        </w:rPr>
        <w:t>Table 1 — Best TMA Uniformity Index (TMA-UI) per geometry type. D = nozzle diameter, Q = volumetric flow rate, Re = Reynolds number. All Track 2 types substantially outperform the Track 1 baseline.</w:t>
      </w:r>
    </w:p>
    <w:tbl>
      <w:tblPr>
        <w:tblLook w:firstColumn="1" w:firstRow="1" w:lastColumn="0" w:lastRow="0" w:noHBand="0" w:noVBand="1" w:val="04A0"/>
        <w:tblW w:type="pct" w:w="5000"/>
      </w:tblPr>
      <w:tblGrid>
        <w:gridCol w:w="8838"/>
      </w:tblGrid>
      <w:tr>
        <w:tc>
          <w:tcPr>
            <w:tcW w:type="dxa" w:w="8838"/>
            <w:shd w:val="clear" w:color="auto" w:fill="D6EAF8"/>
          </w:tcPr>
          <w:p>
            <w:pPr>
              <w:spacing w:before="80" w:after="80"/>
              <w:ind w:left="170"/>
            </w:pPr>
            <w:r>
              <w:rPr>
                <w:rFonts w:ascii="Times New Roman" w:hAnsi="Times New Roman"/>
                <w:b/>
                <w:i w:val="0"/>
                <w:color w:val="1A5276"/>
                <w:sz w:val="20"/>
              </w:rPr>
              <w:t xml:space="preserve">Key Finding:  </w:t>
            </w:r>
            <w:r>
              <w:rPr>
                <w:rFonts w:ascii="Times New Roman" w:hAnsi="Times New Roman"/>
                <w:b w:val="0"/>
                <w:i w:val="0"/>
                <w:color w:val="1A5276"/>
                <w:sz w:val="20"/>
              </w:rPr>
              <w:t>GA topology search achieves TMA-UI = 0.971 — a +183% improvement over Track 1 (0.344) and +8.5% over random topology search (0.895). The GA discovers an optimally-positioned baffled plenum (Type A) that random sampling missed. Both topology search strategies discover designs that are topologically inaccessible to parametric Track 1 optimisation.</w:t>
            </w:r>
          </w:p>
        </w:tc>
      </w:tr>
    </w:tbl>
    <w:p>
      <w:pPr>
        <w:spacing w:after="120"/>
      </w:pPr>
    </w:p>
    <w:p>
      <w:pPr>
        <w:spacing w:after="120"/>
        <w:jc w:val="both"/>
      </w:pPr>
      <w:r>
        <w:rPr>
          <w:rFonts w:ascii="Times New Roman" w:hAnsi="Times New Roman"/>
          <w:b w:val="0"/>
          <w:i w:val="0"/>
          <w:sz w:val="22"/>
        </w:rPr>
        <w:t xml:space="preserve">Notably, the </w:t>
      </w:r>
      <w:r>
        <w:rPr>
          <w:rFonts w:ascii="Times New Roman" w:hAnsi="Times New Roman"/>
          <w:b w:val="0"/>
          <w:i w:val="0"/>
          <w:sz w:val="22"/>
        </w:rPr>
        <w:t>GA</w:t>
      </w:r>
      <w:r>
        <w:rPr>
          <w:rFonts w:ascii="Times New Roman" w:hAnsi="Times New Roman"/>
          <w:b w:val="0"/>
          <w:i w:val="0"/>
          <w:sz w:val="22"/>
        </w:rPr>
        <w:t xml:space="preserve"> identifies a different best topology than random search: random search selects Type C (annular rings, </w:t>
      </w:r>
      <w:r>
        <w:rPr>
          <w:rFonts w:ascii="Times New Roman" w:hAnsi="Times New Roman"/>
          <w:b w:val="0"/>
          <w:i w:val="0"/>
          <w:sz w:val="22"/>
        </w:rPr>
        <w:t>TMA</w:t>
      </w:r>
      <w:r>
        <w:rPr>
          <w:rFonts w:ascii="Times New Roman" w:hAnsi="Times New Roman"/>
          <w:b w:val="0"/>
          <w:i w:val="0"/>
          <w:sz w:val="22"/>
        </w:rPr>
        <w:t xml:space="preserve">-UI = 0.895), while the </w:t>
      </w:r>
      <w:r>
        <w:rPr>
          <w:rFonts w:ascii="Times New Roman" w:hAnsi="Times New Roman"/>
          <w:b w:val="0"/>
          <w:i w:val="0"/>
          <w:sz w:val="22"/>
        </w:rPr>
        <w:t>GA</w:t>
      </w:r>
      <w:r>
        <w:rPr>
          <w:rFonts w:ascii="Times New Roman" w:hAnsi="Times New Roman"/>
          <w:b w:val="0"/>
          <w:i w:val="0"/>
          <w:sz w:val="22"/>
        </w:rPr>
        <w:t xml:space="preserve"> evolves to Type A (baffled plenum, </w:t>
      </w:r>
      <w:r>
        <w:rPr>
          <w:rFonts w:ascii="Times New Roman" w:hAnsi="Times New Roman"/>
          <w:b w:val="0"/>
          <w:i w:val="0"/>
          <w:sz w:val="22"/>
        </w:rPr>
        <w:t>TMA</w:t>
      </w:r>
      <w:r>
        <w:rPr>
          <w:rFonts w:ascii="Times New Roman" w:hAnsi="Times New Roman"/>
          <w:b w:val="0"/>
          <w:i w:val="0"/>
          <w:sz w:val="22"/>
        </w:rPr>
        <w:t xml:space="preserve">-UI = 0.971) with a precisely optimised baffle position (baffle_frac = 0.42, placing the baffle near the lower third of the plenum). This result demonstrates that the </w:t>
      </w:r>
      <w:r>
        <w:rPr>
          <w:rFonts w:ascii="Times New Roman" w:hAnsi="Times New Roman"/>
          <w:b w:val="0"/>
          <w:i w:val="0"/>
          <w:sz w:val="22"/>
        </w:rPr>
        <w:t>GA</w:t>
      </w:r>
      <w:r>
        <w:rPr>
          <w:rFonts w:ascii="Times New Roman" w:hAnsi="Times New Roman"/>
          <w:b w:val="0"/>
          <w:i w:val="0"/>
          <w:sz w:val="22"/>
        </w:rPr>
        <w:t>'s guided evolution across both topology type and continuous parameters simultaneously finds designs that pure random sampling over a fixed type cannot reach.</w:t>
      </w:r>
    </w:p>
    <w:p>
      <w:pPr>
        <w:spacing w:before="240" w:after="80"/>
      </w:pPr>
      <w:r>
        <w:rPr>
          <w:rFonts w:ascii="Times New Roman" w:hAnsi="Times New Roman"/>
          <w:b/>
          <w:i w:val="0"/>
          <w:color w:val="005082"/>
          <w:sz w:val="24"/>
        </w:rPr>
        <w:t>7.2 Track 1 vs Track 2 Pareto Comparison</w:t>
      </w:r>
    </w:p>
    <w:p>
      <w:pPr>
        <w:spacing w:after="120"/>
        <w:jc w:val="both"/>
      </w:pPr>
      <w:r>
        <w:rPr>
          <w:rFonts w:ascii="Times New Roman" w:hAnsi="Times New Roman"/>
          <w:b w:val="0"/>
          <w:i w:val="0"/>
          <w:sz w:val="22"/>
        </w:rPr>
        <w:t xml:space="preserve">Figure 3 shows the complete Track 1 vs Track 2 design space comparison, including the </w:t>
      </w:r>
      <w:r>
        <w:rPr>
          <w:rFonts w:ascii="Times New Roman" w:hAnsi="Times New Roman"/>
          <w:b w:val="0"/>
          <w:i w:val="0"/>
          <w:sz w:val="22"/>
        </w:rPr>
        <w:t>KPI</w:t>
      </w:r>
      <w:r>
        <w:rPr>
          <w:rFonts w:ascii="Times New Roman" w:hAnsi="Times New Roman"/>
          <w:b w:val="0"/>
          <w:i w:val="0"/>
          <w:sz w:val="22"/>
        </w:rPr>
        <w:t xml:space="preserve"> surrogate out-of-fold parity plot.</w:t>
      </w:r>
    </w:p>
    <w:p>
      <w:pPr>
        <w:jc w:val="center"/>
      </w:pPr>
      <w:r>
        <w:drawing>
          <wp:inline xmlns:a="http://schemas.openxmlformats.org/drawingml/2006/main" xmlns:pic="http://schemas.openxmlformats.org/drawingml/2006/picture">
            <wp:extent cx="5303520" cy="1883208"/>
            <wp:docPr id="3" name="Picture 3"/>
            <wp:cNvGraphicFramePr>
              <a:graphicFrameLocks noChangeAspect="1"/>
            </wp:cNvGraphicFramePr>
            <a:graphic>
              <a:graphicData uri="http://schemas.openxmlformats.org/drawingml/2006/picture">
                <pic:pic>
                  <pic:nvPicPr>
                    <pic:cNvPr id="0" name="track2_pareto.png"/>
                    <pic:cNvPicPr/>
                  </pic:nvPicPr>
                  <pic:blipFill>
                    <a:blip r:embed="rId11"/>
                    <a:stretch>
                      <a:fillRect/>
                    </a:stretch>
                  </pic:blipFill>
                  <pic:spPr>
                    <a:xfrm>
                      <a:off x="0" y="0"/>
                      <a:ext cx="5303520" cy="1883208"/>
                    </a:xfrm>
                    <a:prstGeom prst="rect"/>
                  </pic:spPr>
                </pic:pic>
              </a:graphicData>
            </a:graphic>
          </wp:inline>
        </w:drawing>
      </w:r>
    </w:p>
    <w:p>
      <w:pPr>
        <w:spacing w:before="60" w:after="240"/>
        <w:jc w:val="center"/>
      </w:pPr>
      <w:r>
        <w:rPr>
          <w:rFonts w:ascii="Times New Roman" w:hAnsi="Times New Roman"/>
          <w:b w:val="0"/>
          <w:i/>
          <w:sz w:val="18"/>
        </w:rPr>
        <w:t>Figure 3 — Left: Track 1 vs Track 2 full design space. Track 2 candidates dominate Track 1 across all Re values. Right: Combined KPI surrogate OOF parity (n=120, blue=Track 1, orange=Track 2). OOF R²=0.985, ρ=0.947.</w:t>
      </w:r>
    </w:p>
    <w:p>
      <w:pPr>
        <w:spacing w:before="240" w:after="80"/>
      </w:pPr>
      <w:r>
        <w:rPr>
          <w:rFonts w:ascii="Times New Roman" w:hAnsi="Times New Roman"/>
          <w:b/>
          <w:i w:val="0"/>
          <w:color w:val="005082"/>
          <w:sz w:val="24"/>
        </w:rPr>
        <w:t>7.3 GNN Training and Field Accuracy</w:t>
      </w:r>
    </w:p>
    <w:p>
      <w:pPr>
        <w:spacing w:after="120"/>
        <w:jc w:val="both"/>
      </w:pPr>
      <w:r>
        <w:rPr>
          <w:rFonts w:ascii="Times New Roman" w:hAnsi="Times New Roman"/>
          <w:b w:val="0"/>
          <w:i w:val="0"/>
          <w:sz w:val="22"/>
        </w:rPr>
        <w:t xml:space="preserve">Figure 4 shows </w:t>
      </w:r>
      <w:r>
        <w:rPr>
          <w:rFonts w:ascii="Times New Roman" w:hAnsi="Times New Roman"/>
          <w:b w:val="0"/>
          <w:i w:val="0"/>
          <w:sz w:val="22"/>
        </w:rPr>
        <w:t>GNN</w:t>
      </w:r>
      <w:r>
        <w:rPr>
          <w:rFonts w:ascii="Times New Roman" w:hAnsi="Times New Roman"/>
          <w:b w:val="0"/>
          <w:i w:val="0"/>
          <w:sz w:val="22"/>
        </w:rPr>
        <w:t xml:space="preserve"> training and validation loss curves.</w:t>
      </w:r>
    </w:p>
    <w:p>
      <w:pPr>
        <w:jc w:val="center"/>
      </w:pPr>
      <w:r>
        <w:drawing>
          <wp:inline xmlns:a="http://schemas.openxmlformats.org/drawingml/2006/main" xmlns:pic="http://schemas.openxmlformats.org/drawingml/2006/picture">
            <wp:extent cx="4572000" cy="1524000"/>
            <wp:docPr id="4" name="Picture 4"/>
            <wp:cNvGraphicFramePr>
              <a:graphicFrameLocks noChangeAspect="1"/>
            </wp:cNvGraphicFramePr>
            <a:graphic>
              <a:graphicData uri="http://schemas.openxmlformats.org/drawingml/2006/picture">
                <pic:pic>
                  <pic:nvPicPr>
                    <pic:cNvPr id="0" name="loss_curve.png"/>
                    <pic:cNvPicPr/>
                  </pic:nvPicPr>
                  <pic:blipFill>
                    <a:blip r:embed="rId12"/>
                    <a:stretch>
                      <a:fillRect/>
                    </a:stretch>
                  </pic:blipFill>
                  <pic:spPr>
                    <a:xfrm>
                      <a:off x="0" y="0"/>
                      <a:ext cx="4572000" cy="1524000"/>
                    </a:xfrm>
                    <a:prstGeom prst="rect"/>
                  </pic:spPr>
                </pic:pic>
              </a:graphicData>
            </a:graphic>
          </wp:inline>
        </w:drawing>
      </w:r>
    </w:p>
    <w:p>
      <w:pPr>
        <w:spacing w:before="60" w:after="240"/>
        <w:jc w:val="center"/>
      </w:pPr>
      <w:r>
        <w:rPr>
          <w:rFonts w:ascii="Times New Roman" w:hAnsi="Times New Roman"/>
          <w:b w:val="0"/>
          <w:i/>
          <w:sz w:val="18"/>
        </w:rPr>
        <w:t>Figure 4 — GNN training and validation loss curves (200 epochs, Colab A100 GPU). Left: total loss. Right: per-head breakdown (flow / heat / species). Species loss decreases more slowly due to the near-uniform TMA field in the current mesh resolution.</w:t>
      </w:r>
    </w:p>
    <w:p>
      <w:pPr>
        <w:spacing w:after="120"/>
        <w:jc w:val="both"/>
      </w:pPr>
      <w:r>
        <w:rPr>
          <w:rFonts w:ascii="Times New Roman" w:hAnsi="Times New Roman"/>
          <w:b w:val="0"/>
          <w:i w:val="0"/>
          <w:sz w:val="22"/>
        </w:rPr>
        <w:t xml:space="preserve">The </w:t>
      </w:r>
      <w:r>
        <w:rPr>
          <w:rFonts w:ascii="Times New Roman" w:hAnsi="Times New Roman"/>
          <w:b w:val="0"/>
          <w:i w:val="0"/>
          <w:sz w:val="22"/>
        </w:rPr>
        <w:t>GNN</w:t>
      </w:r>
      <w:r>
        <w:rPr>
          <w:rFonts w:ascii="Times New Roman" w:hAnsi="Times New Roman"/>
          <w:b w:val="0"/>
          <w:i w:val="0"/>
          <w:sz w:val="22"/>
        </w:rPr>
        <w:t xml:space="preserve"> surrogate achieves: pressure Mean Absolute Error (</w:t>
      </w:r>
      <w:r>
        <w:rPr>
          <w:rFonts w:ascii="Times New Roman" w:hAnsi="Times New Roman"/>
          <w:b/>
          <w:i w:val="0"/>
          <w:sz w:val="22"/>
        </w:rPr>
        <w:t>MAE</w:t>
      </w:r>
      <w:r>
        <w:rPr>
          <w:rFonts w:ascii="Times New Roman" w:hAnsi="Times New Roman"/>
          <w:b w:val="0"/>
          <w:i w:val="0"/>
          <w:sz w:val="22"/>
        </w:rPr>
        <w:t xml:space="preserve">) &lt; 0.96% (relative), temperature </w:t>
      </w:r>
      <w:r>
        <w:rPr>
          <w:rFonts w:ascii="Times New Roman" w:hAnsi="Times New Roman"/>
          <w:b w:val="0"/>
          <w:i w:val="0"/>
          <w:sz w:val="22"/>
        </w:rPr>
        <w:t>MAE</w:t>
      </w:r>
      <w:r>
        <w:rPr>
          <w:rFonts w:ascii="Times New Roman" w:hAnsi="Times New Roman"/>
          <w:b w:val="0"/>
          <w:i w:val="0"/>
          <w:sz w:val="22"/>
        </w:rPr>
        <w:t xml:space="preserve"> &lt; 0.29% (relative). Velocity field prediction is weaker (relative </w:t>
      </w:r>
      <w:r>
        <w:rPr>
          <w:rFonts w:ascii="Times New Roman" w:hAnsi="Times New Roman"/>
          <w:b w:val="0"/>
          <w:i w:val="0"/>
          <w:sz w:val="22"/>
        </w:rPr>
        <w:t>MAE</w:t>
      </w:r>
      <w:r>
        <w:rPr>
          <w:rFonts w:ascii="Times New Roman" w:hAnsi="Times New Roman"/>
          <w:b w:val="0"/>
          <w:i w:val="0"/>
          <w:sz w:val="22"/>
        </w:rPr>
        <w:t xml:space="preserve"> ~120%) due to complex 3D flow patterns relative to the 123-case dataset size. </w:t>
      </w:r>
      <w:r>
        <w:rPr>
          <w:rFonts w:ascii="Times New Roman" w:hAnsi="Times New Roman"/>
          <w:b w:val="0"/>
          <w:i w:val="0"/>
          <w:sz w:val="22"/>
        </w:rPr>
        <w:t>TMA</w:t>
      </w:r>
      <w:r>
        <w:rPr>
          <w:rFonts w:ascii="Times New Roman" w:hAnsi="Times New Roman"/>
          <w:b w:val="0"/>
          <w:i w:val="0"/>
          <w:sz w:val="22"/>
        </w:rPr>
        <w:t xml:space="preserve"> spatial prediction is mesh-limited (sub-millimetre boundary layer unresolved at ~1 mm cell size); the multi-fidelity </w:t>
      </w:r>
      <w:r>
        <w:rPr>
          <w:rFonts w:ascii="Times New Roman" w:hAnsi="Times New Roman"/>
          <w:b w:val="0"/>
          <w:i w:val="0"/>
          <w:sz w:val="22"/>
        </w:rPr>
        <w:t>KPI</w:t>
      </w:r>
      <w:r>
        <w:rPr>
          <w:rFonts w:ascii="Times New Roman" w:hAnsi="Times New Roman"/>
          <w:b w:val="0"/>
          <w:i w:val="0"/>
          <w:sz w:val="22"/>
        </w:rPr>
        <w:t xml:space="preserve"> surrogate compensates for this at the design-ranking level.</w:t>
      </w:r>
    </w:p>
    <w:p>
      <w:pPr>
        <w:spacing w:before="240" w:after="80"/>
      </w:pPr>
      <w:r>
        <w:rPr>
          <w:rFonts w:ascii="Times New Roman" w:hAnsi="Times New Roman"/>
          <w:b/>
          <w:i w:val="0"/>
          <w:color w:val="005082"/>
          <w:sz w:val="24"/>
        </w:rPr>
        <w:t>7.4 Ablation Study — KPI Surrogate Components</w:t>
      </w:r>
    </w:p>
    <w:p>
      <w:pPr>
        <w:spacing w:after="120"/>
        <w:jc w:val="both"/>
      </w:pPr>
      <w:r>
        <w:rPr>
          <w:rFonts w:ascii="Times New Roman" w:hAnsi="Times New Roman"/>
          <w:b w:val="0"/>
          <w:i w:val="0"/>
          <w:sz w:val="22"/>
        </w:rPr>
        <w:t xml:space="preserve">Table 2 quantifies the contribution of each component of the </w:t>
      </w:r>
      <w:r>
        <w:rPr>
          <w:rFonts w:ascii="Times New Roman" w:hAnsi="Times New Roman"/>
          <w:b w:val="0"/>
          <w:i w:val="0"/>
          <w:sz w:val="22"/>
        </w:rPr>
        <w:t>KPI</w:t>
      </w:r>
      <w:r>
        <w:rPr>
          <w:rFonts w:ascii="Times New Roman" w:hAnsi="Times New Roman"/>
          <w:b w:val="0"/>
          <w:i w:val="0"/>
          <w:sz w:val="22"/>
        </w:rPr>
        <w:t xml:space="preserve"> surrogate. Each row adds one component to the previous configuration.</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b/>
                <w:sz w:val="18"/>
              </w:rPr>
              <w:t>Configuration</w:t>
            </w:r>
          </w:p>
        </w:tc>
        <w:tc>
          <w:tcPr>
            <w:tcW w:type="dxa" w:w="2209"/>
          </w:tcPr>
          <w:p>
            <w:r>
              <w:rPr>
                <w:b/>
                <w:sz w:val="18"/>
              </w:rPr>
              <w:t>Change added</w:t>
            </w:r>
          </w:p>
        </w:tc>
        <w:tc>
          <w:tcPr>
            <w:tcW w:type="dxa" w:w="2209"/>
          </w:tcPr>
          <w:p>
            <w:r>
              <w:rPr>
                <w:b/>
                <w:sz w:val="18"/>
              </w:rPr>
              <w:t>OOF R²</w:t>
            </w:r>
          </w:p>
        </w:tc>
        <w:tc>
          <w:tcPr>
            <w:tcW w:type="dxa" w:w="2209"/>
          </w:tcPr>
          <w:p>
            <w:r>
              <w:rPr>
                <w:b/>
                <w:sz w:val="18"/>
              </w:rPr>
              <w:t>OOF ρ</w:t>
            </w:r>
          </w:p>
        </w:tc>
      </w:tr>
      <w:tr>
        <w:tc>
          <w:tcPr>
            <w:tcW w:type="dxa" w:w="2209"/>
          </w:tcPr>
          <w:p>
            <w:r>
              <w:rPr>
                <w:sz w:val="18"/>
              </w:rPr>
              <w:t>Single 70/13 split, 18 features only</w:t>
            </w:r>
          </w:p>
        </w:tc>
        <w:tc>
          <w:tcPr>
            <w:tcW w:type="dxa" w:w="2209"/>
          </w:tcPr>
          <w:p>
            <w:r>
              <w:rPr>
                <w:sz w:val="18"/>
              </w:rPr>
              <w:t>Baseline</w:t>
            </w:r>
          </w:p>
        </w:tc>
        <w:tc>
          <w:tcPr>
            <w:tcW w:type="dxa" w:w="2209"/>
          </w:tcPr>
          <w:p>
            <w:r>
              <w:rPr>
                <w:sz w:val="18"/>
              </w:rPr>
              <w:t>−0.56</w:t>
            </w:r>
          </w:p>
        </w:tc>
        <w:tc>
          <w:tcPr>
            <w:tcW w:type="dxa" w:w="2209"/>
          </w:tcPr>
          <w:p>
            <w:r>
              <w:rPr>
                <w:sz w:val="18"/>
              </w:rPr>
              <w:t>0.66</w:t>
            </w:r>
          </w:p>
        </w:tc>
      </w:tr>
      <w:tr>
        <w:tc>
          <w:tcPr>
            <w:tcW w:type="dxa" w:w="2209"/>
          </w:tcPr>
          <w:p>
            <w:r>
              <w:rPr>
                <w:sz w:val="18"/>
              </w:rPr>
              <w:t>5-fold CV, 18 features only</w:t>
            </w:r>
          </w:p>
        </w:tc>
        <w:tc>
          <w:tcPr>
            <w:tcW w:type="dxa" w:w="2209"/>
          </w:tcPr>
          <w:p>
            <w:r>
              <w:rPr>
                <w:sz w:val="18"/>
              </w:rPr>
              <w:t>+ K-fold</w:t>
            </w:r>
          </w:p>
        </w:tc>
        <w:tc>
          <w:tcPr>
            <w:tcW w:type="dxa" w:w="2209"/>
          </w:tcPr>
          <w:p>
            <w:r>
              <w:rPr>
                <w:sz w:val="18"/>
              </w:rPr>
              <w:t>0.43</w:t>
            </w:r>
          </w:p>
        </w:tc>
        <w:tc>
          <w:tcPr>
            <w:tcW w:type="dxa" w:w="2209"/>
          </w:tcPr>
          <w:p>
            <w:r>
              <w:rPr>
                <w:sz w:val="18"/>
              </w:rPr>
              <w:t>0.73</w:t>
            </w:r>
          </w:p>
        </w:tc>
      </w:tr>
      <w:tr>
        <w:tc>
          <w:tcPr>
            <w:tcW w:type="dxa" w:w="2209"/>
          </w:tcPr>
          <w:p>
            <w:r>
              <w:rPr>
                <w:sz w:val="18"/>
              </w:rPr>
              <w:t>5-fold CV, 27 features (+ wafer-plane stats)</w:t>
            </w:r>
          </w:p>
        </w:tc>
        <w:tc>
          <w:tcPr>
            <w:tcW w:type="dxa" w:w="2209"/>
          </w:tcPr>
          <w:p>
            <w:r>
              <w:rPr>
                <w:sz w:val="18"/>
              </w:rPr>
              <w:t>+ Multi-fidelity features</w:t>
            </w:r>
          </w:p>
        </w:tc>
        <w:tc>
          <w:tcPr>
            <w:tcW w:type="dxa" w:w="2209"/>
          </w:tcPr>
          <w:p>
            <w:r>
              <w:rPr>
                <w:sz w:val="18"/>
              </w:rPr>
              <w:t>0.81</w:t>
            </w:r>
          </w:p>
        </w:tc>
        <w:tc>
          <w:tcPr>
            <w:tcW w:type="dxa" w:w="2209"/>
          </w:tcPr>
          <w:p>
            <w:r>
              <w:rPr>
                <w:sz w:val="18"/>
              </w:rPr>
              <w:t>0.88</w:t>
            </w:r>
          </w:p>
        </w:tc>
      </w:tr>
      <w:tr>
        <w:tc>
          <w:tcPr>
            <w:tcW w:type="dxa" w:w="2209"/>
          </w:tcPr>
          <w:p>
            <w:r>
              <w:rPr>
                <w:sz w:val="18"/>
              </w:rPr>
              <w:t>5-fold CV ensemble, 27 features</w:t>
            </w:r>
          </w:p>
        </w:tc>
        <w:tc>
          <w:tcPr>
            <w:tcW w:type="dxa" w:w="2209"/>
          </w:tcPr>
          <w:p>
            <w:r>
              <w:rPr>
                <w:sz w:val="18"/>
              </w:rPr>
              <w:t>+ Ensemble (5 models avg)</w:t>
            </w:r>
          </w:p>
        </w:tc>
        <w:tc>
          <w:tcPr>
            <w:tcW w:type="dxa" w:w="2209"/>
          </w:tcPr>
          <w:p>
            <w:r>
              <w:rPr>
                <w:b/>
                <w:sz w:val="18"/>
              </w:rPr>
              <w:t>0.985</w:t>
            </w:r>
          </w:p>
        </w:tc>
        <w:tc>
          <w:tcPr>
            <w:tcW w:type="dxa" w:w="2209"/>
          </w:tcPr>
          <w:p>
            <w:r>
              <w:rPr>
                <w:b/>
                <w:sz w:val="18"/>
              </w:rPr>
              <w:t>0.947</w:t>
            </w:r>
          </w:p>
        </w:tc>
      </w:tr>
    </w:tbl>
    <w:p>
      <w:pPr>
        <w:spacing w:before="60" w:after="240"/>
        <w:jc w:val="center"/>
      </w:pPr>
      <w:r>
        <w:rPr>
          <w:rFonts w:ascii="Times New Roman" w:hAnsi="Times New Roman"/>
          <w:b w:val="0"/>
          <w:i/>
          <w:sz w:val="18"/>
        </w:rPr>
        <w:t>Table 2 — Ablation study: contribution of each KPI surrogate component. OOF = out-of-fold (each case predicted by a model never trained on it). The final ensemble with 27 features achieves OOF R² = 0.985, ρ = 0.947. Bold row = recommended configuration used in the optimizer.</w:t>
      </w:r>
    </w:p>
    <w:p>
      <w:pPr>
        <w:spacing w:after="120"/>
        <w:jc w:val="both"/>
      </w:pPr>
      <w:r>
        <w:rPr>
          <w:rFonts w:ascii="Times New Roman" w:hAnsi="Times New Roman"/>
          <w:b w:val="0"/>
          <w:i w:val="0"/>
          <w:sz w:val="22"/>
        </w:rPr>
        <w:t xml:space="preserve">Key observations: (1) 5-fold cross-validation is essential — a single 70/13 split gives </w:t>
      </w:r>
      <w:r>
        <w:rPr>
          <w:rFonts w:ascii="Times New Roman" w:hAnsi="Times New Roman"/>
          <w:b w:val="0"/>
          <w:i w:val="0"/>
          <w:sz w:val="22"/>
        </w:rPr>
        <w:t>OOF</w:t>
      </w:r>
      <w:r>
        <w:rPr>
          <w:rFonts w:ascii="Times New Roman" w:hAnsi="Times New Roman"/>
          <w:b w:val="0"/>
          <w:i w:val="0"/>
          <w:sz w:val="22"/>
        </w:rPr>
        <w:t xml:space="preserve"> R² = −0.56 due to the small dataset size, whereas K-fold corrects this to 0.43; (2) adding the 9 wafer-plane </w:t>
      </w:r>
      <w:r>
        <w:rPr>
          <w:rFonts w:ascii="Times New Roman" w:hAnsi="Times New Roman"/>
          <w:b w:val="0"/>
          <w:i w:val="0"/>
          <w:sz w:val="22"/>
        </w:rPr>
        <w:t>CFD</w:t>
      </w:r>
      <w:r>
        <w:rPr>
          <w:rFonts w:ascii="Times New Roman" w:hAnsi="Times New Roman"/>
          <w:b w:val="0"/>
          <w:i w:val="0"/>
          <w:sz w:val="22"/>
        </w:rPr>
        <w:t xml:space="preserve"> statistics doubles R² from 0.43 to 0.81 and raises Spearman ρ from 0.73 to 0.88, confirming that vertical velocity uniformity at the nozzle exit is a strong proxy for </w:t>
      </w:r>
      <w:r>
        <w:rPr>
          <w:rFonts w:ascii="Times New Roman" w:hAnsi="Times New Roman"/>
          <w:b w:val="0"/>
          <w:i w:val="0"/>
          <w:sz w:val="22"/>
        </w:rPr>
        <w:t>TMA</w:t>
      </w:r>
      <w:r>
        <w:rPr>
          <w:rFonts w:ascii="Times New Roman" w:hAnsi="Times New Roman"/>
          <w:b w:val="0"/>
          <w:i w:val="0"/>
          <w:sz w:val="22"/>
        </w:rPr>
        <w:t>-UI; (3) ensemble averaging adds a further improvement to R² = 0.985.</w:t>
      </w:r>
    </w:p>
    <w:p>
      <w:pPr>
        <w:spacing w:before="240" w:after="80"/>
      </w:pPr>
      <w:r>
        <w:rPr>
          <w:rFonts w:ascii="Times New Roman" w:hAnsi="Times New Roman"/>
          <w:b/>
          <w:i w:val="0"/>
          <w:color w:val="005082"/>
          <w:sz w:val="24"/>
        </w:rPr>
        <w:t>7.5 Guardrail Validation</w:t>
      </w:r>
    </w:p>
    <w:p>
      <w:pPr>
        <w:spacing w:after="120"/>
        <w:jc w:val="both"/>
      </w:pPr>
      <w:r>
        <w:rPr>
          <w:rFonts w:ascii="Times New Roman" w:hAnsi="Times New Roman"/>
          <w:b w:val="0"/>
          <w:i w:val="0"/>
          <w:sz w:val="22"/>
        </w:rPr>
        <w:t xml:space="preserve">All 1,200 Track 2 optimizer candidates were screened against the eleven guardrails before </w:t>
      </w:r>
      <w:r>
        <w:rPr>
          <w:rFonts w:ascii="Times New Roman" w:hAnsi="Times New Roman"/>
          <w:b w:val="0"/>
          <w:i w:val="0"/>
          <w:sz w:val="22"/>
        </w:rPr>
        <w:t>KPI</w:t>
      </w:r>
      <w:r>
        <w:rPr>
          <w:rFonts w:ascii="Times New Roman" w:hAnsi="Times New Roman"/>
          <w:b w:val="0"/>
          <w:i w:val="0"/>
          <w:sz w:val="22"/>
        </w:rPr>
        <w:t xml:space="preserve"> evaluation. The Damkohler guardrail (</w:t>
      </w:r>
      <w:r>
        <w:rPr>
          <w:rFonts w:ascii="Times New Roman" w:hAnsi="Times New Roman"/>
          <w:b w:val="0"/>
          <w:i w:val="0"/>
          <w:sz w:val="22"/>
        </w:rPr>
        <w:t>Da</w:t>
      </w:r>
      <w:r>
        <w:rPr>
          <w:rFonts w:ascii="Times New Roman" w:hAnsi="Times New Roman"/>
          <w:b w:val="0"/>
          <w:i w:val="0"/>
          <w:sz w:val="22"/>
        </w:rPr>
        <w:t xml:space="preserve"> in [0.001, 100]) correctly rejected high-flow-rate candidates at small diameters where precursor depletion would cause non-uniform deposition. The Euler guardrail (Eu_max = 10^8) filtered geometries with effectively closed nozzles. The interactive dashboard allows engineers to adjust guardrail bounds and observe real-time changes in the accepted design space.</w:t>
      </w:r>
    </w:p>
    <w:p>
      <w:pPr>
        <w:spacing w:before="240" w:after="80"/>
      </w:pPr>
      <w:r>
        <w:rPr>
          <w:rFonts w:ascii="Times New Roman" w:hAnsi="Times New Roman"/>
          <w:b/>
          <w:i w:val="0"/>
          <w:color w:val="003366"/>
          <w:sz w:val="28"/>
        </w:rPr>
        <w:t>8. Industry Use Cases</w:t>
      </w:r>
    </w:p>
    <w:p>
      <w:pPr>
        <w:pStyle w:val="ListBullet"/>
        <w:spacing w:after="60"/>
        <w:jc w:val="both"/>
      </w:pPr>
      <w:r>
        <w:rPr>
          <w:rFonts w:ascii="Times New Roman" w:hAnsi="Times New Roman"/>
          <w:b/>
          <w:i w:val="0"/>
          <w:sz w:val="22"/>
        </w:rPr>
        <w:t xml:space="preserve">Advanced logic (3 nm and below): </w:t>
      </w:r>
      <w:r>
        <w:rPr>
          <w:rFonts w:ascii="Times New Roman" w:hAnsi="Times New Roman"/>
          <w:b w:val="0"/>
          <w:i w:val="0"/>
          <w:sz w:val="22"/>
        </w:rPr>
        <w:t>at sub-5 nm nodes, film thickness must be controlled to ±0.1 nm across 300 mm wafers. The framework optimises showerhead geometry to minimise TMA-UI non-uniformity, directly targeting this specification.</w:t>
      </w:r>
    </w:p>
    <w:p>
      <w:pPr>
        <w:pStyle w:val="ListBullet"/>
        <w:spacing w:after="60"/>
        <w:jc w:val="both"/>
      </w:pPr>
      <w:r>
        <w:rPr>
          <w:rFonts w:ascii="Times New Roman" w:hAnsi="Times New Roman"/>
          <w:b/>
          <w:i w:val="0"/>
          <w:sz w:val="22"/>
        </w:rPr>
        <w:t xml:space="preserve">High-Bandwidth Memory (HBM) stacking: </w:t>
      </w:r>
      <w:r>
        <w:rPr>
          <w:rFonts w:ascii="Times New Roman" w:hAnsi="Times New Roman"/>
          <w:b w:val="0"/>
          <w:i w:val="0"/>
          <w:sz w:val="22"/>
        </w:rPr>
        <w:t>through-silicon vias (TSVs) in 3D-stacked memory require conformal ALD barrier films in high-aspect-ratio features. High TMA-UI with Da &lt;&lt; 1 ensures conformal coverage.</w:t>
      </w:r>
    </w:p>
    <w:p>
      <w:pPr>
        <w:pStyle w:val="ListBullet"/>
        <w:spacing w:after="60"/>
        <w:jc w:val="both"/>
      </w:pPr>
      <w:r>
        <w:rPr>
          <w:rFonts w:ascii="Times New Roman" w:hAnsi="Times New Roman"/>
          <w:b/>
          <w:i w:val="0"/>
          <w:sz w:val="22"/>
        </w:rPr>
        <w:t xml:space="preserve">Solid-state battery electrolytes: </w:t>
      </w:r>
      <w:r>
        <w:rPr>
          <w:rFonts w:ascii="Times New Roman" w:hAnsi="Times New Roman"/>
          <w:b w:val="0"/>
          <w:i w:val="0"/>
          <w:sz w:val="22"/>
        </w:rPr>
        <w:t>ALD-deposited lithium ion conducting films for solid-state batteries require large-area uniformity. Track 2 baffled and two-zone designs address this challenge.</w:t>
      </w:r>
    </w:p>
    <w:p>
      <w:pPr>
        <w:pStyle w:val="ListBullet"/>
        <w:spacing w:after="60"/>
        <w:jc w:val="both"/>
      </w:pPr>
      <w:r>
        <w:rPr>
          <w:rFonts w:ascii="Times New Roman" w:hAnsi="Times New Roman"/>
          <w:b/>
          <w:i w:val="0"/>
          <w:sz w:val="22"/>
        </w:rPr>
        <w:t xml:space="preserve">Catalyst synthesis: </w:t>
      </w:r>
      <w:r>
        <w:rPr>
          <w:rFonts w:ascii="Times New Roman" w:hAnsi="Times New Roman"/>
          <w:b w:val="0"/>
          <w:i w:val="0"/>
          <w:sz w:val="22"/>
        </w:rPr>
        <w:t>ALD deposits precisely controlled catalyst films on porous supports. Optimal precursor distribution directly controls catalyst loading uniformity.</w:t>
      </w:r>
    </w:p>
    <w:p>
      <w:pPr>
        <w:pStyle w:val="ListBullet"/>
        <w:spacing w:after="60"/>
        <w:jc w:val="both"/>
      </w:pPr>
      <w:r>
        <w:rPr>
          <w:rFonts w:ascii="Times New Roman" w:hAnsi="Times New Roman"/>
          <w:b/>
          <w:i w:val="0"/>
          <w:sz w:val="22"/>
        </w:rPr>
        <w:t xml:space="preserve">Flexible electronics: </w:t>
      </w:r>
      <w:r>
        <w:rPr>
          <w:rFonts w:ascii="Times New Roman" w:hAnsi="Times New Roman"/>
          <w:b w:val="0"/>
          <w:i w:val="0"/>
          <w:sz w:val="22"/>
        </w:rPr>
        <w:t>roll-to-roll ALD for flexible devices requires uniform deposition across moving substrates. The framework is adaptable to linear showerhead geometries.</w:t>
      </w:r>
    </w:p>
    <w:p>
      <w:pPr>
        <w:spacing w:before="240" w:after="80"/>
      </w:pPr>
      <w:r>
        <w:rPr>
          <w:rFonts w:ascii="Times New Roman" w:hAnsi="Times New Roman"/>
          <w:b/>
          <w:i w:val="0"/>
          <w:color w:val="003366"/>
          <w:sz w:val="28"/>
        </w:rPr>
        <w:t>9. Limitations and Future Work</w:t>
      </w:r>
    </w:p>
    <w:p>
      <w:pPr>
        <w:pStyle w:val="ListBullet"/>
        <w:spacing w:after="60"/>
        <w:jc w:val="both"/>
      </w:pPr>
      <w:r>
        <w:rPr>
          <w:rFonts w:ascii="Times New Roman" w:hAnsi="Times New Roman"/>
          <w:b/>
          <w:i w:val="0"/>
          <w:sz w:val="22"/>
        </w:rPr>
        <w:t xml:space="preserve">Wafer-plane mesh refinement: </w:t>
      </w:r>
      <w:r>
        <w:rPr>
          <w:rFonts w:ascii="Times New Roman" w:hAnsi="Times New Roman"/>
          <w:b w:val="0"/>
          <w:i w:val="0"/>
          <w:sz w:val="22"/>
        </w:rPr>
        <w:t>TMA spatial field prediction requires ~0.1 mm cell size at the wafer surface (current: ~1 mm). Refinement via snappyHexMesh refinementRegions would enable full-field species head training at ~5× simulation cost.</w:t>
      </w:r>
    </w:p>
    <w:p>
      <w:pPr>
        <w:pStyle w:val="ListBullet"/>
        <w:spacing w:after="60"/>
        <w:jc w:val="both"/>
      </w:pPr>
      <w:r>
        <w:rPr>
          <w:rFonts w:ascii="Times New Roman" w:hAnsi="Times New Roman"/>
          <w:b/>
          <w:i w:val="0"/>
          <w:sz w:val="22"/>
        </w:rPr>
        <w:t xml:space="preserve">Dataset scale: </w:t>
      </w:r>
      <w:r>
        <w:rPr>
          <w:rFonts w:ascii="Times New Roman" w:hAnsi="Times New Roman"/>
          <w:b w:val="0"/>
          <w:i w:val="0"/>
          <w:sz w:val="22"/>
        </w:rPr>
        <w:t>123 cases is sufficient for a framework demonstration; production deployment would benefit from 500+ cases per track. The OpenFOAM pipeline is fully automated and scales linearly.</w:t>
      </w:r>
    </w:p>
    <w:p>
      <w:pPr>
        <w:pStyle w:val="ListBullet"/>
        <w:spacing w:after="60"/>
        <w:jc w:val="both"/>
      </w:pPr>
      <w:r>
        <w:rPr>
          <w:rFonts w:ascii="Times New Roman" w:hAnsi="Times New Roman"/>
          <w:b/>
          <w:i w:val="0"/>
          <w:sz w:val="22"/>
        </w:rPr>
        <w:t xml:space="preserve">Extended topology search via larger populations: </w:t>
      </w:r>
      <w:r>
        <w:rPr>
          <w:rFonts w:ascii="Times New Roman" w:hAnsi="Times New Roman"/>
          <w:b w:val="0"/>
          <w:i w:val="0"/>
          <w:sz w:val="22"/>
        </w:rPr>
        <w:t>the GA converges in 50 generations (2,000 evaluations). Larger population sizes and more generations would continue to improve results at the cost of additional (still cheap, surrogate-based) evaluations.</w:t>
      </w:r>
    </w:p>
    <w:p>
      <w:pPr>
        <w:pStyle w:val="ListBullet"/>
        <w:spacing w:after="60"/>
        <w:jc w:val="both"/>
      </w:pPr>
      <w:r>
        <w:rPr>
          <w:rFonts w:ascii="Times New Roman" w:hAnsi="Times New Roman"/>
          <w:b/>
          <w:i w:val="0"/>
          <w:sz w:val="22"/>
        </w:rPr>
        <w:t xml:space="preserve">Voxel parallelisation: </w:t>
      </w:r>
      <w:r>
        <w:rPr>
          <w:rFonts w:ascii="Times New Roman" w:hAnsi="Times New Roman"/>
          <w:b w:val="0"/>
          <w:i w:val="0"/>
          <w:sz w:val="22"/>
        </w:rPr>
        <w:t>the current Python/NumPy SDF implementation evaluates the 64^3 voxel grid in a single thread, taking ~30 s per geometry on CPU. Parallelising across CPU cores or porting to GPU would reduce build time to under 5 s, enabling real-time interactive topology exploration in the Streamlit dashboard.</w:t>
      </w:r>
    </w:p>
    <w:p>
      <w:pPr>
        <w:spacing w:before="240" w:after="80"/>
      </w:pPr>
      <w:r>
        <w:rPr>
          <w:rFonts w:ascii="Times New Roman" w:hAnsi="Times New Roman"/>
          <w:b/>
          <w:i w:val="0"/>
          <w:color w:val="003366"/>
          <w:sz w:val="28"/>
        </w:rPr>
        <w:t>10. Conclusion</w:t>
      </w:r>
    </w:p>
    <w:p>
      <w:pPr>
        <w:spacing w:after="120"/>
        <w:jc w:val="both"/>
      </w:pPr>
      <w:r>
        <w:rPr>
          <w:rFonts w:ascii="Times New Roman" w:hAnsi="Times New Roman"/>
          <w:b w:val="0"/>
          <w:i w:val="0"/>
          <w:sz w:val="22"/>
        </w:rPr>
        <w:t xml:space="preserve">We presented a physics-guardrailed, dual-track surrogate framework for </w:t>
      </w:r>
      <w:r>
        <w:rPr>
          <w:rFonts w:ascii="Times New Roman" w:hAnsi="Times New Roman"/>
          <w:b w:val="0"/>
          <w:i w:val="0"/>
          <w:sz w:val="22"/>
        </w:rPr>
        <w:t>ALD</w:t>
      </w:r>
      <w:r>
        <w:rPr>
          <w:rFonts w:ascii="Times New Roman" w:hAnsi="Times New Roman"/>
          <w:b w:val="0"/>
          <w:i w:val="0"/>
          <w:sz w:val="22"/>
        </w:rPr>
        <w:t xml:space="preserve"> showerhead geometry optimisation. The framework's two geometry tracks — </w:t>
      </w:r>
      <w:r>
        <w:rPr>
          <w:rFonts w:ascii="Times New Roman" w:hAnsi="Times New Roman"/>
          <w:b w:val="0"/>
          <w:i w:val="0"/>
          <w:sz w:val="22"/>
        </w:rPr>
        <w:t>PCGM</w:t>
      </w:r>
      <w:r>
        <w:rPr>
          <w:rFonts w:ascii="Times New Roman" w:hAnsi="Times New Roman"/>
          <w:b w:val="0"/>
          <w:i w:val="0"/>
          <w:sz w:val="22"/>
        </w:rPr>
        <w:t xml:space="preserve"> for parametric search and </w:t>
      </w:r>
      <w:r>
        <w:rPr>
          <w:rFonts w:ascii="Times New Roman" w:hAnsi="Times New Roman"/>
          <w:b w:val="0"/>
          <w:i w:val="0"/>
          <w:sz w:val="22"/>
        </w:rPr>
        <w:t>VICES</w:t>
      </w:r>
      <w:r>
        <w:rPr>
          <w:rFonts w:ascii="Times New Roman" w:hAnsi="Times New Roman"/>
          <w:b w:val="0"/>
          <w:i w:val="0"/>
          <w:sz w:val="22"/>
        </w:rPr>
        <w:t xml:space="preserve"> for topology-level search — share a common physics calculator, </w:t>
      </w:r>
      <w:r>
        <w:rPr>
          <w:rFonts w:ascii="Times New Roman" w:hAnsi="Times New Roman"/>
          <w:b w:val="0"/>
          <w:i w:val="0"/>
          <w:sz w:val="22"/>
        </w:rPr>
        <w:t>GNN</w:t>
      </w:r>
      <w:r>
        <w:rPr>
          <w:rFonts w:ascii="Times New Roman" w:hAnsi="Times New Roman"/>
          <w:b w:val="0"/>
          <w:i w:val="0"/>
          <w:sz w:val="22"/>
        </w:rPr>
        <w:t xml:space="preserve"> surrogate, guardrail engine, and optimizer. The central finding is that topology search achieves </w:t>
      </w:r>
      <w:r>
        <w:rPr>
          <w:rFonts w:ascii="Times New Roman" w:hAnsi="Times New Roman"/>
          <w:b w:val="0"/>
          <w:i w:val="0"/>
          <w:sz w:val="22"/>
        </w:rPr>
        <w:t>TMA</w:t>
      </w:r>
      <w:r>
        <w:rPr>
          <w:rFonts w:ascii="Times New Roman" w:hAnsi="Times New Roman"/>
          <w:b w:val="0"/>
          <w:i w:val="0"/>
          <w:sz w:val="22"/>
        </w:rPr>
        <w:t xml:space="preserve">-UI = 0.792 — a +130% improvement over the best parametric design (0.344) — demonstrating that topology exploration is necessary to discover the highest-performing </w:t>
      </w:r>
      <w:r>
        <w:rPr>
          <w:rFonts w:ascii="Times New Roman" w:hAnsi="Times New Roman"/>
          <w:b w:val="0"/>
          <w:i w:val="0"/>
          <w:sz w:val="22"/>
        </w:rPr>
        <w:t>ALD</w:t>
      </w:r>
      <w:r>
        <w:rPr>
          <w:rFonts w:ascii="Times New Roman" w:hAnsi="Times New Roman"/>
          <w:b w:val="0"/>
          <w:i w:val="0"/>
          <w:sz w:val="22"/>
        </w:rPr>
        <w:t xml:space="preserve"> showerhead designs. The Catalan number characterisation formally bounds the combinatorial complexity of this topology space. An eleven-parameter physics guardrail engine ensures all recommendations are physically valid and within the surrogate's training distribution. All code and data are at https://github.com/Ranaam21/cfd-ald-app.</w:t>
      </w:r>
    </w:p>
    <w:tbl>
      <w:tblPr>
        <w:tblLook w:firstColumn="1" w:firstRow="1" w:lastColumn="0" w:lastRow="0" w:noHBand="0" w:noVBand="1" w:val="04A0"/>
        <w:tblW w:type="pct" w:w="5000"/>
      </w:tblPr>
      <w:tblGrid>
        <w:gridCol w:w="8838"/>
      </w:tblGrid>
      <w:tr>
        <w:tc>
          <w:tcPr>
            <w:tcW w:type="dxa" w:w="8838"/>
            <w:shd w:val="clear" w:color="auto" w:fill="D6EAF8"/>
          </w:tcPr>
          <w:p>
            <w:pPr>
              <w:spacing w:before="80" w:after="80"/>
              <w:ind w:left="170"/>
            </w:pPr>
            <w:r>
              <w:rPr>
                <w:rFonts w:ascii="Times New Roman" w:hAnsi="Times New Roman"/>
                <w:b/>
                <w:i w:val="0"/>
                <w:color w:val="1A5276"/>
                <w:sz w:val="20"/>
              </w:rPr>
              <w:t xml:space="preserve">Key Finding:  </w:t>
            </w:r>
            <w:r>
              <w:rPr>
                <w:rFonts w:ascii="Times New Roman" w:hAnsi="Times New Roman"/>
                <w:b w:val="0"/>
                <w:i w:val="0"/>
                <w:color w:val="1A5276"/>
                <w:sz w:val="20"/>
              </w:rPr>
              <w:t>Topology matters. Fixing the showerhead topology to hex-array packing — as parametric tools must — leaves a 130% TMA uniformity improvement undiscovered. The dual-track PCGM + VICES framework is the first to quantify this gap and provide a principled path to close it.</w:t>
            </w:r>
          </w:p>
        </w:tc>
      </w:tr>
    </w:tbl>
    <w:p>
      <w:pPr>
        <w:spacing w:after="120"/>
      </w:pPr>
    </w:p>
    <w:p>
      <w:pPr>
        <w:spacing w:before="240" w:after="80"/>
      </w:pPr>
      <w:r>
        <w:rPr>
          <w:rFonts w:ascii="Times New Roman" w:hAnsi="Times New Roman"/>
          <w:b/>
          <w:i w:val="0"/>
          <w:color w:val="003366"/>
          <w:sz w:val="28"/>
        </w:rPr>
        <w:t>Acknowledgements</w:t>
      </w:r>
    </w:p>
    <w:p>
      <w:pPr>
        <w:spacing w:after="120"/>
        <w:jc w:val="both"/>
      </w:pPr>
      <w:r>
        <w:rPr>
          <w:rFonts w:ascii="Times New Roman" w:hAnsi="Times New Roman"/>
          <w:b w:val="0"/>
          <w:i w:val="0"/>
          <w:sz w:val="22"/>
        </w:rPr>
        <w:t>The author thanks the OpenFOAM community for maintaining the reactingFoam solver and Docker images used in this work. Computational resources were provided via Google Colab. No external funding was received.</w:t>
      </w:r>
    </w:p>
    <w:p>
      <w:pPr>
        <w:spacing w:before="240" w:after="80"/>
      </w:pPr>
      <w:r>
        <w:rPr>
          <w:rFonts w:ascii="Times New Roman" w:hAnsi="Times New Roman"/>
          <w:b/>
          <w:i w:val="0"/>
          <w:color w:val="003366"/>
          <w:sz w:val="28"/>
        </w:rPr>
        <w:t>References</w:t>
      </w:r>
    </w:p>
    <w:p>
      <w:pPr>
        <w:spacing w:after="60"/>
        <w:ind w:left="283"/>
      </w:pPr>
      <w:r>
        <w:rPr>
          <w:rFonts w:ascii="Times New Roman" w:hAnsi="Times New Roman"/>
          <w:b w:val="0"/>
          <w:i w:val="0"/>
          <w:sz w:val="18"/>
        </w:rPr>
        <w:t>[1] Granneman, E. et al. Batch ALD: characteristics, comparison with single wafer ALD, and examples. Surf. Coat. Technol. 201(22–23), 8899–8907 (2007).</w:t>
      </w:r>
    </w:p>
    <w:p>
      <w:pPr>
        <w:spacing w:after="60"/>
        <w:ind w:left="283"/>
      </w:pPr>
      <w:r>
        <w:rPr>
          <w:rFonts w:ascii="Times New Roman" w:hAnsi="Times New Roman"/>
          <w:b w:val="0"/>
          <w:i w:val="0"/>
          <w:sz w:val="18"/>
        </w:rPr>
        <w:t>[2] Cremers, V. et al. Conformality in atomic layer deposition. Appl. Phys. Rev. 6(2), 021302 (2019).</w:t>
      </w:r>
    </w:p>
    <w:p>
      <w:pPr>
        <w:spacing w:after="60"/>
        <w:ind w:left="283"/>
      </w:pPr>
      <w:r>
        <w:rPr>
          <w:rFonts w:ascii="Times New Roman" w:hAnsi="Times New Roman"/>
          <w:b w:val="0"/>
          <w:i w:val="0"/>
          <w:sz w:val="18"/>
        </w:rPr>
        <w:t>[3] Pan, D. et al. Multiscale modeling of ALD of Al2O3. J. Vac. Sci. Technol. A 33(2), 021512 (2015).</w:t>
      </w:r>
    </w:p>
    <w:p>
      <w:pPr>
        <w:spacing w:after="60"/>
        <w:ind w:left="283"/>
      </w:pPr>
      <w:r>
        <w:rPr>
          <w:rFonts w:ascii="Times New Roman" w:hAnsi="Times New Roman"/>
          <w:b w:val="0"/>
          <w:i w:val="0"/>
          <w:sz w:val="18"/>
        </w:rPr>
        <w:t>[4] Argonne aldFoam. https://github.com/argonne-lcf/aldfoam (2020).</w:t>
      </w:r>
    </w:p>
    <w:p>
      <w:pPr>
        <w:spacing w:after="60"/>
        <w:ind w:left="283"/>
      </w:pPr>
      <w:r>
        <w:rPr>
          <w:rFonts w:ascii="Times New Roman" w:hAnsi="Times New Roman"/>
          <w:b w:val="0"/>
          <w:i w:val="0"/>
          <w:sz w:val="18"/>
        </w:rPr>
        <w:t>[5] OpenFOAM Foundation. OpenFOAM v2512. https://openfoam.org (2024).</w:t>
      </w:r>
    </w:p>
    <w:p>
      <w:pPr>
        <w:spacing w:after="60"/>
        <w:ind w:left="283"/>
      </w:pPr>
      <w:r>
        <w:rPr>
          <w:rFonts w:ascii="Times New Roman" w:hAnsi="Times New Roman"/>
          <w:b w:val="0"/>
          <w:i w:val="0"/>
          <w:sz w:val="18"/>
        </w:rPr>
        <w:t>[6] Pfaff, T. et al. Learning Mesh-Based Simulation with Graph Networks. ICLR 2021.</w:t>
      </w:r>
    </w:p>
    <w:p>
      <w:pPr>
        <w:spacing w:after="60"/>
        <w:ind w:left="283"/>
      </w:pPr>
      <w:r>
        <w:rPr>
          <w:rFonts w:ascii="Times New Roman" w:hAnsi="Times New Roman"/>
          <w:b w:val="0"/>
          <w:i w:val="0"/>
          <w:sz w:val="18"/>
        </w:rPr>
        <w:t>[7] Bonnet, F. et al. AirfRANS: High Fidelity CFD Dataset for RANS Approximation. NeurIPS 2022.</w:t>
      </w:r>
    </w:p>
    <w:p>
      <w:pPr>
        <w:spacing w:after="60"/>
        <w:ind w:left="283"/>
      </w:pPr>
      <w:r>
        <w:rPr>
          <w:rFonts w:ascii="Times New Roman" w:hAnsi="Times New Roman"/>
          <w:b w:val="0"/>
          <w:i w:val="0"/>
          <w:sz w:val="18"/>
        </w:rPr>
        <w:t>[8] Fey, M. &amp; Lenssen, J.E. Fast Graph Representation Learning with PyTorch Geometric. ICLR Workshop 2019.</w:t>
      </w:r>
    </w:p>
    <w:p>
      <w:pPr>
        <w:spacing w:after="60"/>
        <w:ind w:left="283"/>
      </w:pPr>
      <w:r>
        <w:rPr>
          <w:rFonts w:ascii="Times New Roman" w:hAnsi="Times New Roman"/>
          <w:b w:val="0"/>
          <w:i w:val="0"/>
          <w:sz w:val="18"/>
        </w:rPr>
        <w:t>[9] LEAP71. PicoGK open-source geometry kernel. https://github.com/leap71/PicoGK (2023).</w:t>
      </w:r>
    </w:p>
    <w:p>
      <w:pPr>
        <w:spacing w:after="60"/>
        <w:ind w:left="283"/>
      </w:pPr>
      <w:r>
        <w:rPr>
          <w:rFonts w:ascii="Times New Roman" w:hAnsi="Times New Roman"/>
          <w:b w:val="0"/>
          <w:i w:val="0"/>
          <w:sz w:val="18"/>
        </w:rPr>
        <w:t>[10] Lorensen, W.E. &amp; Cline, H.E. Marching cubes. ACM SIGGRAPH 21(4), 163–169 (1987).</w:t>
      </w:r>
    </w:p>
    <w:p>
      <w:pPr>
        <w:spacing w:after="60"/>
        <w:ind w:left="283"/>
      </w:pPr>
      <w:r>
        <w:rPr>
          <w:rFonts w:ascii="Times New Roman" w:hAnsi="Times New Roman"/>
          <w:b w:val="0"/>
          <w:i w:val="0"/>
          <w:sz w:val="18"/>
        </w:rPr>
        <w:t>[11] PyMCubes. https://github.com/pmneila/PyMCubes (2021).</w:t>
      </w:r>
    </w:p>
    <w:p>
      <w:pPr>
        <w:spacing w:after="60"/>
        <w:ind w:left="283"/>
      </w:pPr>
      <w:r>
        <w:rPr>
          <w:rFonts w:ascii="Times New Roman" w:hAnsi="Times New Roman"/>
          <w:b w:val="0"/>
          <w:i w:val="0"/>
          <w:sz w:val="18"/>
        </w:rPr>
        <w:t>[12] Zuckerman, N. &amp; Lior, N. Jet impingement heat transfer. Adv. Heat Transf. 39, 565–631 (2006).</w:t>
      </w:r>
    </w:p>
    <w:p>
      <w:pPr>
        <w:spacing w:after="60"/>
        <w:ind w:left="283"/>
      </w:pPr>
      <w:r>
        <w:rPr>
          <w:rFonts w:ascii="Times New Roman" w:hAnsi="Times New Roman"/>
          <w:b w:val="0"/>
          <w:i w:val="0"/>
          <w:sz w:val="18"/>
        </w:rPr>
        <w:t>[13] Sherwood number dataset. Mendeley Data. https://data.mendeley.com (2021).</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