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b/>
          <w:i w:val="0"/>
          <w:color w:val="003366"/>
          <w:sz w:val="32"/>
        </w:rPr>
        <w:t>A Physics-Guardrailed Dual-Track Surrogate Framework for Atomic Layer Deposition Showerhead Geometry Optimisation: Parametric Morphogenesis and Voxel-Implicit CSG Topology Search</w:t>
      </w:r>
    </w:p>
    <w:p>
      <w:pPr>
        <w:jc w:val="center"/>
      </w:pPr>
      <w:r>
        <w:rPr>
          <w:rFonts w:ascii="Times New Roman" w:hAnsi="Times New Roman"/>
          <w:b/>
          <w:i w:val="0"/>
          <w:sz w:val="24"/>
        </w:rPr>
        <w:t>Amit Rana</w:t>
      </w:r>
    </w:p>
    <w:p>
      <w:pPr>
        <w:jc w:val="center"/>
      </w:pPr>
      <w:r>
        <w:rPr>
          <w:rFonts w:ascii="Times New Roman" w:hAnsi="Times New Roman"/>
          <w:b w:val="0"/>
          <w:i/>
          <w:sz w:val="20"/>
        </w:rPr>
        <w:t>Independent Researcher</w:t>
        <w:br/>
        <w:t>amit21aim@gmail.com</w:t>
        <w:br/>
        <w:t>ORCID: https://orcid.org/0009-0008-5998-6560</w:t>
        <w:br/>
        <w:t>Corresponding author: Amit Rana (amit21aim@gmail.com)</w:t>
        <w:br/>
        <w:t>May 2026</w:t>
      </w:r>
    </w:p>
    <w:p/>
    <w:p>
      <w:pPr>
        <w:spacing w:before="280" w:after="80"/>
      </w:pPr>
      <w:r>
        <w:rPr>
          <w:rFonts w:ascii="Times New Roman" w:hAnsi="Times New Roman"/>
          <w:b/>
          <w:i w:val="0"/>
          <w:color w:val="003366"/>
          <w:sz w:val="28"/>
        </w:rPr>
        <w:t>Abstract</w:t>
      </w:r>
    </w:p>
    <w:p>
      <w:pPr>
        <w:spacing w:after="120"/>
        <w:jc w:val="both"/>
      </w:pPr>
      <w:r>
        <w:rPr>
          <w:rFonts w:ascii="Times New Roman" w:hAnsi="Times New Roman"/>
          <w:b w:val="0"/>
          <w:i w:val="0"/>
          <w:sz w:val="22"/>
        </w:rPr>
        <w:t>Atomic Layer Deposition (ALD) — a nanoscale thin-film manufacturing process that deposits one precise atomic layer per reaction cycle — demands extreme uniformity in precursor gas distribution across the wafer surface. The showerhead, a perforated faceplate that disperses process gas above the wafer, is the critical hardware that determines this uniformity. Today, showerhead design is largely manual, guided by engineering intuition and expensive Computational Fluid Dynamics (CFD) simulations that each take hours to run. This paper presents a physics-guardrailed, machine-learning-accelerated framework that searches the showerhead design space in seconds rather than hours. The framework operates on two parallel geometry tracks: Track 1 (PCGM — Physics-Constrained Geometric Morphogenesis) generates parametric hex nozzle arrays and evaluates them with a Graph Neural Network (GNN) surrogate; Track 2 (VICES — Voxel-Implicit Computational Engineering Synthesis) synthesises topologically novel geometries — baffled plenums, conical diffusers, annular ring arrays, and two-zone split plenums — using Constructive Solid Geometry (CSG) boolean operations on Signed Distance Fields (SDF), followed by Marching Cubes triangulation. A multi-head MeshGraphNet surrogate, trained on 123 OpenFOAM reactingFoam cases, predicts velocity, pressure, temperature, and species fields across the design space. An eleven-dimensional physics guardrail engine enforces dimensionless-number constraints (Reynolds Re, Mach Ma, Euler Eu, Prandtl Pr, Schmidt Sc, Peclet Pe, Damkohler Da, Nusselt Nu, Biot Bi, Sherwood Sh) before any candidate is evaluated. A multi-fidelity KPI surrogate — trained on the combined dataset with 5-fold cross-validation — achieves an out-of-fold Spearman rank correlation of rho = 0.88 for Trimethylaluminium (TMA) uniformity prediction. Track 2 topology search discovers designs that improve TMA Uniformity Index (TMA-UI) by +0.448 over the best Track 1 parametric design (0.792 vs 0.344), demonstrating that topology exploration unlocks performance gains inaccessible to parametric methods. An interactive Streamlit dashboard integrates both tracks, enabling engineers to switch geometry synthesis methods, visualise predicted fields, and inspect guardrail compliance in real time.</w:t>
      </w:r>
    </w:p>
    <w:p>
      <w:pPr>
        <w:spacing w:before="280" w:after="80"/>
      </w:pPr>
      <w:r>
        <w:rPr>
          <w:rFonts w:ascii="Times New Roman" w:hAnsi="Times New Roman"/>
          <w:b/>
          <w:i w:val="0"/>
          <w:color w:val="003366"/>
          <w:sz w:val="28"/>
        </w:rPr>
        <w:t>1. Introduction</w:t>
      </w:r>
    </w:p>
    <w:p>
      <w:pPr>
        <w:spacing w:after="120"/>
        <w:jc w:val="both"/>
      </w:pPr>
      <w:r>
        <w:rPr>
          <w:rFonts w:ascii="Times New Roman" w:hAnsi="Times New Roman"/>
          <w:b w:val="0"/>
          <w:i w:val="0"/>
          <w:sz w:val="22"/>
        </w:rPr>
        <w:t>Atomic Layer Deposition (ALD) is a thin-film deposition technique used in semiconductor manufacturing to deposit ultra-thin, highly uniform films one atomic layer at a time. Each ALD cycle consists of two half-reactions: first, a precursor gas (for example, Trimethylaluminium, or TMA — chemical formula Al(CH3)3 — for aluminium oxide films) is pulsed into the reactor and chemisorbs onto the wafer surface; second, the excess precursor is purged and a co-reactant (typically water or ozone) completes the reaction. The self-limiting nature of ALD means that deposition stops automatically once all surface sites are saturated, enabling atomic-precision thickness control.</w:t>
      </w:r>
    </w:p>
    <w:p>
      <w:pPr>
        <w:spacing w:after="120"/>
        <w:jc w:val="both"/>
      </w:pPr>
      <w:r>
        <w:rPr>
          <w:rFonts w:ascii="Times New Roman" w:hAnsi="Times New Roman"/>
          <w:b w:val="0"/>
          <w:i w:val="0"/>
          <w:sz w:val="22"/>
        </w:rPr>
        <w:t>The critical challenge in ALD reactor design is uniformity: the precursor gas must reach every point on the wafer surface simultaneously, in equal concentration, for every cycle. Non-uniformity in gas distribution leads to spatially varying film thickness — a defect that directly causes semiconductor device failures at the nanoscale. The component responsible for gas distribution is the showerhead: a perforated metal faceplate with tens to hundreds of small nozzle holes through which gas is injected into the space between the faceplate and the wafer (called the standoff gap).</w:t>
      </w:r>
    </w:p>
    <w:p>
      <w:pPr>
        <w:spacing w:after="120"/>
        <w:jc w:val="both"/>
      </w:pPr>
      <w:r>
        <w:rPr>
          <w:rFonts w:ascii="Times New Roman" w:hAnsi="Times New Roman"/>
          <w:b w:val="0"/>
          <w:i w:val="0"/>
          <w:sz w:val="22"/>
        </w:rPr>
        <w:t>Today, showerhead design is conducted through a labour-intensive cycle: an engineer proposes a geometry, a CFD (Computational Fluid Dynamics) simulation is run (typically taking 6-10 hours per design), the results are analysed, and the geometry is adjusted. This "design-simulate-modify" loop typically takes weeks and explores only a fraction of the design space. Machine learning surrogates — models trained on CFD data that can predict simulation results in milliseconds — offer a path to accelerate this process dramatically.</w:t>
      </w:r>
    </w:p>
    <w:p>
      <w:pPr>
        <w:spacing w:after="120"/>
        <w:jc w:val="both"/>
      </w:pPr>
      <w:r>
        <w:rPr>
          <w:rFonts w:ascii="Times New Roman" w:hAnsi="Times New Roman"/>
          <w:b w:val="0"/>
          <w:i w:val="0"/>
          <w:sz w:val="22"/>
        </w:rPr>
        <w:t>However, existing surrogate approaches for process equipment share two important limitations. First, they typically search only within a fixed geometry topology (for example, varying the diameter and spacing of holes in a hex array), missing fundamentally different designs that require different internal geometry. Second, they lack physical guardrails — they may recommend designs that violate fluid dynamics constraints, leading engineers astray.</w:t>
      </w:r>
    </w:p>
    <w:p>
      <w:pPr>
        <w:spacing w:after="120"/>
        <w:jc w:val="both"/>
      </w:pPr>
      <w:r>
        <w:rPr>
          <w:rFonts w:ascii="Times New Roman" w:hAnsi="Times New Roman"/>
          <w:b w:val="0"/>
          <w:i w:val="0"/>
          <w:sz w:val="22"/>
        </w:rPr>
        <w:t>This paper addresses both limitations. We present a dual-track surrogate framework that: (1) searches parametric geometry space efficiently using a GNN surrogate with physics guardrails (Track 1 — PCGM); and (2) explores topologically novel geometries using CSG synthesis, Marching Cubes meshing, and the same GNN surrogate (Track 2 — VICES). The combination demonstrates that topology search can achieve a 130% improvement in TMA uniformity over the best parametric design.</w:t>
      </w:r>
    </w:p>
    <w:p>
      <w:pPr>
        <w:spacing w:after="120"/>
        <w:jc w:val="both"/>
      </w:pPr>
      <w:r>
        <w:rPr>
          <w:rFonts w:ascii="Times New Roman" w:hAnsi="Times New Roman"/>
          <w:b w:val="0"/>
          <w:i w:val="0"/>
          <w:sz w:val="22"/>
        </w:rPr>
        <w:t>The principal contributions of this paper are:</w:t>
      </w:r>
    </w:p>
    <w:p>
      <w:pPr>
        <w:pStyle w:val="ListBullet"/>
        <w:spacing w:after="60"/>
        <w:jc w:val="both"/>
      </w:pPr>
      <w:r>
        <w:rPr>
          <w:rFonts w:ascii="Times New Roman" w:hAnsi="Times New Roman"/>
          <w:b/>
          <w:i w:val="0"/>
          <w:sz w:val="22"/>
        </w:rPr>
        <w:t xml:space="preserve">Novel dual-track architecture: </w:t>
      </w:r>
      <w:r>
        <w:rPr>
          <w:rFonts w:ascii="Times New Roman" w:hAnsi="Times New Roman"/>
          <w:b w:val="0"/>
          <w:i w:val="0"/>
          <w:sz w:val="22"/>
        </w:rPr>
        <w:t>the first framework to directly compare parametric (PCGM) and voxel-implicit CSG (VICES) geometry synthesis for ALD reactor design, enabling topology-level design exploration in addition to parametric search.</w:t>
      </w:r>
    </w:p>
    <w:p>
      <w:pPr>
        <w:pStyle w:val="ListBullet"/>
        <w:spacing w:after="60"/>
        <w:jc w:val="both"/>
      </w:pPr>
      <w:r>
        <w:rPr>
          <w:rFonts w:ascii="Times New Roman" w:hAnsi="Times New Roman"/>
          <w:b/>
          <w:i w:val="0"/>
          <w:sz w:val="22"/>
        </w:rPr>
        <w:t xml:space="preserve">Catalan-number characterisation of the CSG design space: </w:t>
      </w:r>
      <w:r>
        <w:rPr>
          <w:rFonts w:ascii="Times New Roman" w:hAnsi="Times New Roman"/>
          <w:b w:val="0"/>
          <w:i w:val="0"/>
          <w:sz w:val="22"/>
        </w:rPr>
        <w:t>we formally characterise the Track 2 design space using Catalan numbers — for n primitive shapes, C(n-1) distinct binary CSG tree topologies exist (e.g. 6 primitives yield 42 distinct topologies), providing a mathematically rigorous bound on the search complexity.</w:t>
      </w:r>
    </w:p>
    <w:p>
      <w:pPr>
        <w:pStyle w:val="ListBullet"/>
        <w:spacing w:after="60"/>
        <w:jc w:val="both"/>
      </w:pPr>
      <w:r>
        <w:rPr>
          <w:rFonts w:ascii="Times New Roman" w:hAnsi="Times New Roman"/>
          <w:b/>
          <w:i w:val="0"/>
          <w:sz w:val="22"/>
        </w:rPr>
        <w:t xml:space="preserve">Multi-head MeshGraphNet surrogate: </w:t>
      </w:r>
      <w:r>
        <w:rPr>
          <w:rFonts w:ascii="Times New Roman" w:hAnsi="Times New Roman"/>
          <w:b w:val="0"/>
          <w:i w:val="0"/>
          <w:sz w:val="22"/>
        </w:rPr>
        <w:t>a shared-encoder, 3-head Graph Neural Network (GNN) predicts flow (Ux, Uy, Uz, p), heat (T), and species (TMA) fields simultaneously on 123 OpenFOAM reactingFoam cases spanning both geometry tracks.</w:t>
      </w:r>
    </w:p>
    <w:p>
      <w:pPr>
        <w:pStyle w:val="ListBullet"/>
        <w:spacing w:after="60"/>
        <w:jc w:val="both"/>
      </w:pPr>
      <w:r>
        <w:rPr>
          <w:rFonts w:ascii="Times New Roman" w:hAnsi="Times New Roman"/>
          <w:b/>
          <w:i w:val="0"/>
          <w:sz w:val="22"/>
        </w:rPr>
        <w:t xml:space="preserve">Eleven-dimensional physics guardrail engine: </w:t>
      </w:r>
      <w:r>
        <w:rPr>
          <w:rFonts w:ascii="Times New Roman" w:hAnsi="Times New Roman"/>
          <w:b w:val="0"/>
          <w:i w:val="0"/>
          <w:sz w:val="22"/>
        </w:rPr>
        <w:t>enforces dimensionless constraints across momentum (Re, Ma, Eu), heat (Pr, Nu, Bi), and mass transfer (Sc, Sh, Pe_h, Pe_m, Da) before any design is evaluated, preventing physically invalid recommendations.</w:t>
      </w:r>
    </w:p>
    <w:p>
      <w:pPr>
        <w:pStyle w:val="ListBullet"/>
        <w:spacing w:after="60"/>
        <w:jc w:val="both"/>
      </w:pPr>
      <w:r>
        <w:rPr>
          <w:rFonts w:ascii="Times New Roman" w:hAnsi="Times New Roman"/>
          <w:b/>
          <w:i w:val="0"/>
          <w:sz w:val="22"/>
        </w:rPr>
        <w:t xml:space="preserve">Multi-fidelity KPI surrogate: </w:t>
      </w:r>
      <w:r>
        <w:rPr>
          <w:rFonts w:ascii="Times New Roman" w:hAnsi="Times New Roman"/>
          <w:b w:val="0"/>
          <w:i w:val="0"/>
          <w:sz w:val="22"/>
        </w:rPr>
        <w:t>a 5-fold cross-validated MLP on 27 features (18 global physics features + 9 wafer-plane CFD statistics) achieves OOF Spearman rho = 0.88 for TMA uniformity ranking.</w:t>
      </w:r>
    </w:p>
    <w:p>
      <w:pPr>
        <w:pStyle w:val="ListBullet"/>
        <w:spacing w:after="60"/>
        <w:jc w:val="both"/>
      </w:pPr>
      <w:r>
        <w:rPr>
          <w:rFonts w:ascii="Times New Roman" w:hAnsi="Times New Roman"/>
          <w:b/>
          <w:i w:val="0"/>
          <w:sz w:val="22"/>
        </w:rPr>
        <w:t xml:space="preserve">Track 2 topology discovery: </w:t>
      </w:r>
      <w:r>
        <w:rPr>
          <w:rFonts w:ascii="Times New Roman" w:hAnsi="Times New Roman"/>
          <w:b w:val="0"/>
          <w:i w:val="0"/>
          <w:sz w:val="22"/>
        </w:rPr>
        <w:t>the annular-ring geometry (Type C) achieves TMA-UI = 0.792, a +0.448 improvement over the best Track 1 hex-array design (0.344), demonstrating the value of topology exploration.</w:t>
      </w:r>
    </w:p>
    <w:p>
      <w:pPr>
        <w:spacing w:before="280" w:after="80"/>
      </w:pPr>
      <w:r>
        <w:rPr>
          <w:rFonts w:ascii="Times New Roman" w:hAnsi="Times New Roman"/>
          <w:b/>
          <w:i w:val="0"/>
          <w:color w:val="003366"/>
          <w:sz w:val="28"/>
        </w:rPr>
        <w:t>2. Background and Related Work</w:t>
      </w:r>
    </w:p>
    <w:p>
      <w:pPr>
        <w:spacing w:before="280" w:after="80"/>
      </w:pPr>
      <w:r>
        <w:rPr>
          <w:rFonts w:ascii="Times New Roman" w:hAnsi="Times New Roman"/>
          <w:b/>
          <w:i w:val="0"/>
          <w:color w:val="003366"/>
          <w:sz w:val="24"/>
        </w:rPr>
        <w:t>2.1 ALD Reactor Modelling</w:t>
      </w:r>
    </w:p>
    <w:p>
      <w:pPr>
        <w:spacing w:after="120"/>
        <w:jc w:val="both"/>
      </w:pPr>
      <w:r>
        <w:rPr>
          <w:rFonts w:ascii="Times New Roman" w:hAnsi="Times New Roman"/>
          <w:b w:val="0"/>
          <w:i w:val="0"/>
          <w:sz w:val="22"/>
        </w:rPr>
        <w:t>Computational modelling of ALD reactors has been studied extensively. Granneman et al. [1] and Cremers et al. [2] demonstrated that precursor gas distribution uniformity in the reactor directly controls film thickness uniformity on the wafer. Multiscale CFD models coupling gas-phase transport with surface reaction kinetics have been developed [3], but remain computationally expensive (hours per simulation). The Argonne aldFoam solver [4] provides ALD-specific reactive transport within OpenFOAM, but requires custom compilation. In this work, we use the standard reactingFoam solver (part of the openly available OpenFOAM framework [5]) which handles flow, heat, species transport, and turbulence in a single simulation without custom compilation.</w:t>
      </w:r>
    </w:p>
    <w:p>
      <w:pPr>
        <w:spacing w:before="280" w:after="80"/>
      </w:pPr>
      <w:r>
        <w:rPr>
          <w:rFonts w:ascii="Times New Roman" w:hAnsi="Times New Roman"/>
          <w:b/>
          <w:i w:val="0"/>
          <w:color w:val="003366"/>
          <w:sz w:val="24"/>
        </w:rPr>
        <w:t>2.2 GNN Surrogates for CFD</w:t>
      </w:r>
    </w:p>
    <w:p>
      <w:pPr>
        <w:spacing w:after="120"/>
        <w:jc w:val="both"/>
      </w:pPr>
      <w:r>
        <w:rPr>
          <w:rFonts w:ascii="Times New Roman" w:hAnsi="Times New Roman"/>
          <w:b w:val="0"/>
          <w:i w:val="0"/>
          <w:sz w:val="22"/>
        </w:rPr>
        <w:t>Graph Neural Networks (GNNs) have emerged as the dominant architecture for learning surrogate models on unstructured CFD meshes and point clouds. Pfaff et al. [6] introduced MeshGraphNet — a message-passing GNN that operates directly on simulation meshes and generalises across different mesh resolutions and geometries. Li et al. [7] demonstrated GNN surrogates for aerodynamic design. NVIDIA PhysicsNeMo [8] provides a production-grade framework for physics-informed neural surrogates. In this work, we implement a custom MultiHeadMGN — a MeshGraphNet variant with three separate decoder heads for flow, heat, and species fields — using PyTorch Geometric (PyG) [9] rather than PhysicsNeMo, which uses DGL (Deep Graph Library) that is incompatible with PyTorch 2.10+ on CUDA 12.8.</w:t>
      </w:r>
    </w:p>
    <w:p>
      <w:pPr>
        <w:spacing w:before="280" w:after="80"/>
      </w:pPr>
      <w:r>
        <w:rPr>
          <w:rFonts w:ascii="Times New Roman" w:hAnsi="Times New Roman"/>
          <w:b/>
          <w:i w:val="0"/>
          <w:color w:val="003366"/>
          <w:sz w:val="24"/>
        </w:rPr>
        <w:t>2.3 CSG Geometry Synthesis</w:t>
      </w:r>
    </w:p>
    <w:p>
      <w:pPr>
        <w:spacing w:after="120"/>
        <w:jc w:val="both"/>
      </w:pPr>
      <w:r>
        <w:rPr>
          <w:rFonts w:ascii="Times New Roman" w:hAnsi="Times New Roman"/>
          <w:b w:val="0"/>
          <w:i w:val="0"/>
          <w:sz w:val="22"/>
        </w:rPr>
        <w:t>Constructive Solid Geometry (CSG) is a classical CAD technique in which complex shapes are built by combining simple primitive shapes using boolean operations (union, subtraction, intersection). When combined with Signed Distance Fields (SDF) — continuous scalar functions that return the signed distance to the nearest surface at any point in space — CSG becomes extremely powerful: boolean operations on SDFs reduce to simple mathematical operations (union = min, subtract = max(-), intersect = max). PicoGK [10], developed by LEAP71, provides an open-source C# geometry kernel based on this principle and forms the basis of the Noyron computational engineering stack [11]. Our VICES implementation replicates this mathematical approach entirely in Python/NumPy, without requiring the C# runtime, making it directly integrable into a Python-based ML pipeline.</w:t>
      </w:r>
    </w:p>
    <w:p>
      <w:pPr>
        <w:spacing w:before="280" w:after="80"/>
      </w:pPr>
      <w:r>
        <w:rPr>
          <w:rFonts w:ascii="Times New Roman" w:hAnsi="Times New Roman"/>
          <w:b/>
          <w:i w:val="0"/>
          <w:color w:val="003366"/>
          <w:sz w:val="24"/>
        </w:rPr>
        <w:t>2.4 Marching Cubes</w:t>
      </w:r>
    </w:p>
    <w:p>
      <w:pPr>
        <w:spacing w:after="120"/>
        <w:jc w:val="both"/>
      </w:pPr>
      <w:r>
        <w:rPr>
          <w:rFonts w:ascii="Times New Roman" w:hAnsi="Times New Roman"/>
          <w:b w:val="0"/>
          <w:i w:val="0"/>
          <w:sz w:val="22"/>
        </w:rPr>
        <w:t>Marching Cubes, introduced by Lorensen and Cline in 1987 [12], is the standard algorithm for converting a volumetric scalar field (such as an SDF) into a triangle mesh. The algorithm processes each cube of 8 neighbouring voxels, classifying each corner as inside (SDF &lt; 0) or outside (SDF &gt; 0). With 8 binary corners, there are 2^8 = 256 possible configurations, which reduce to 15 unique surface topologies by symmetry. A pre-computed lookup table maps each configuration to the set of triangles that approximate the iso-surface at SDF = 0. In this work, we use the PyMCubes library [13] for efficient Marching Cubes triangulation.</w:t>
      </w:r>
    </w:p>
    <w:p>
      <w:pPr>
        <w:spacing w:before="280" w:after="80"/>
      </w:pPr>
      <w:r>
        <w:rPr>
          <w:rFonts w:ascii="Times New Roman" w:hAnsi="Times New Roman"/>
          <w:b/>
          <w:i w:val="0"/>
          <w:color w:val="003366"/>
          <w:sz w:val="28"/>
        </w:rPr>
        <w:t>3. Framework Architecture</w:t>
      </w:r>
    </w:p>
    <w:p>
      <w:pPr>
        <w:spacing w:after="120"/>
        <w:jc w:val="both"/>
      </w:pPr>
      <w:r>
        <w:rPr>
          <w:rFonts w:ascii="Times New Roman" w:hAnsi="Times New Roman"/>
          <w:b w:val="0"/>
          <w:i w:val="0"/>
          <w:sz w:val="22"/>
        </w:rPr>
        <w:t>Figure 1 shows the end-to-end framework. Both tracks share the same physics calculator, data standardisation pipeline, GNN surrogate, guardrail engine, and multi-objective optimizer. They differ only in Module 1 — how the geometry is created.</w:t>
      </w:r>
    </w:p>
    <w:p>
      <w:pPr>
        <w:jc w:val="center"/>
      </w:pPr>
      <w:r>
        <w:drawing>
          <wp:inline xmlns:a="http://schemas.openxmlformats.org/drawingml/2006/main" xmlns:pic="http://schemas.openxmlformats.org/drawingml/2006/picture">
            <wp:extent cx="5029200" cy="1785800"/>
            <wp:docPr id="1" name="Picture 1"/>
            <wp:cNvGraphicFramePr>
              <a:graphicFrameLocks noChangeAspect="1"/>
            </wp:cNvGraphicFramePr>
            <a:graphic>
              <a:graphicData uri="http://schemas.openxmlformats.org/drawingml/2006/picture">
                <pic:pic>
                  <pic:nvPicPr>
                    <pic:cNvPr id="0" name="track2_pareto.png"/>
                    <pic:cNvPicPr/>
                  </pic:nvPicPr>
                  <pic:blipFill>
                    <a:blip r:embed="rId9"/>
                    <a:stretch>
                      <a:fillRect/>
                    </a:stretch>
                  </pic:blipFill>
                  <pic:spPr>
                    <a:xfrm>
                      <a:off x="0" y="0"/>
                      <a:ext cx="5029200" cy="1785800"/>
                    </a:xfrm>
                    <a:prstGeom prst="rect"/>
                  </pic:spPr>
                </pic:pic>
              </a:graphicData>
            </a:graphic>
          </wp:inline>
        </w:drawing>
      </w:r>
    </w:p>
    <w:p>
      <w:pPr>
        <w:spacing w:after="200"/>
        <w:jc w:val="center"/>
      </w:pPr>
      <w:r>
        <w:rPr>
          <w:rFonts w:ascii="Times New Roman" w:hAnsi="Times New Roman"/>
          <w:b w:val="0"/>
          <w:i/>
          <w:sz w:val="18"/>
        </w:rPr>
        <w:t>Figure 1 — Track 2 vs Track 1 Pareto Front (left) and combined KPI surrogate parity plot (right). Track 2 topology search discovers designs with TMA-UI up to 0.792, compared to a Track 1 maximum of 0.344.</w:t>
      </w:r>
    </w:p>
    <w:p>
      <w:pPr>
        <w:spacing w:after="120"/>
        <w:jc w:val="both"/>
      </w:pPr>
      <w:r>
        <w:rPr>
          <w:rFonts w:ascii="Times New Roman" w:hAnsi="Times New Roman"/>
          <w:b w:val="0"/>
          <w:i w:val="0"/>
          <w:sz w:val="22"/>
        </w:rPr>
        <w:t>The framework comprises eight modules:</w:t>
      </w:r>
    </w:p>
    <w:p>
      <w:pPr>
        <w:pStyle w:val="ListBullet"/>
        <w:spacing w:after="60"/>
        <w:jc w:val="both"/>
      </w:pPr>
      <w:r>
        <w:rPr>
          <w:rFonts w:ascii="Times New Roman" w:hAnsi="Times New Roman"/>
          <w:b/>
          <w:i w:val="0"/>
          <w:sz w:val="22"/>
        </w:rPr>
        <w:t xml:space="preserve">Module 0 — Requirements and Physics Guardrails: </w:t>
      </w:r>
      <w:r>
        <w:rPr>
          <w:rFonts w:ascii="Times New Roman" w:hAnsi="Times New Roman"/>
          <w:b w:val="0"/>
          <w:i w:val="0"/>
          <w:sz w:val="22"/>
        </w:rPr>
        <w:t>computes eleven dimensionless numbers from design parameters and enforces user-settable bounds before any geometry is generated or evaluated.</w:t>
      </w:r>
    </w:p>
    <w:p>
      <w:pPr>
        <w:pStyle w:val="ListBullet"/>
        <w:spacing w:after="60"/>
        <w:jc w:val="both"/>
      </w:pPr>
      <w:r>
        <w:rPr>
          <w:rFonts w:ascii="Times New Roman" w:hAnsi="Times New Roman"/>
          <w:b/>
          <w:i w:val="0"/>
          <w:sz w:val="22"/>
        </w:rPr>
        <w:t xml:space="preserve">Module 1A — Track 1 PCGM Geometry: </w:t>
      </w:r>
      <w:r>
        <w:rPr>
          <w:rFonts w:ascii="Times New Roman" w:hAnsi="Times New Roman"/>
          <w:b w:val="0"/>
          <w:i w:val="0"/>
          <w:sz w:val="22"/>
        </w:rPr>
        <w:t>generates a hex nozzle array point cloud from five continuous parameters (nozzle diameter D, pitch-to-diameter ratio pitch/D, plenum height H, faceplate thickness t, standoff gap s). No mesh generation is required; the point cloud is built directly from parametric rules.</w:t>
      </w:r>
    </w:p>
    <w:p>
      <w:pPr>
        <w:pStyle w:val="ListBullet"/>
        <w:spacing w:after="60"/>
        <w:jc w:val="both"/>
      </w:pPr>
      <w:r>
        <w:rPr>
          <w:rFonts w:ascii="Times New Roman" w:hAnsi="Times New Roman"/>
          <w:b/>
          <w:i w:val="0"/>
          <w:sz w:val="22"/>
        </w:rPr>
        <w:t xml:space="preserve">Module 1B — Track 2 VICES Geometry: </w:t>
      </w:r>
      <w:r>
        <w:rPr>
          <w:rFonts w:ascii="Times New Roman" w:hAnsi="Times New Roman"/>
          <w:b w:val="0"/>
          <w:i w:val="0"/>
          <w:sz w:val="22"/>
        </w:rPr>
        <w:t>synthesises CSG geometry by evaluating an SDF on a voxel grid, applying Marching Cubes to extract a triangle mesh, tagging mesh faces by region (inlet, nozzle walls, wafer surface, outer walls), and sampling a point cloud.</w:t>
      </w:r>
    </w:p>
    <w:p>
      <w:pPr>
        <w:pStyle w:val="ListBullet"/>
        <w:spacing w:after="60"/>
        <w:jc w:val="both"/>
      </w:pPr>
      <w:r>
        <w:rPr>
          <w:rFonts w:ascii="Times New Roman" w:hAnsi="Times New Roman"/>
          <w:b/>
          <w:i w:val="0"/>
          <w:sz w:val="22"/>
        </w:rPr>
        <w:t xml:space="preserve">Module 2 — Data Layer: </w:t>
      </w:r>
      <w:r>
        <w:rPr>
          <w:rFonts w:ascii="Times New Roman" w:hAnsi="Times New Roman"/>
          <w:b w:val="0"/>
          <w:i w:val="0"/>
          <w:sz w:val="22"/>
        </w:rPr>
        <w:t>ingests public CFD datasets (AirfRANS [14], CFDBench [15]) for pretraining and self-generated OpenFOAM reactingFoam cases for ALD-specific finetuning.</w:t>
      </w:r>
    </w:p>
    <w:p>
      <w:pPr>
        <w:pStyle w:val="ListBullet"/>
        <w:spacing w:after="60"/>
        <w:jc w:val="both"/>
      </w:pPr>
      <w:r>
        <w:rPr>
          <w:rFonts w:ascii="Times New Roman" w:hAnsi="Times New Roman"/>
          <w:b/>
          <w:i w:val="0"/>
          <w:sz w:val="22"/>
        </w:rPr>
        <w:t xml:space="preserve">Module 3 — Data Standardisation: </w:t>
      </w:r>
      <w:r>
        <w:rPr>
          <w:rFonts w:ascii="Times New Roman" w:hAnsi="Times New Roman"/>
          <w:b w:val="0"/>
          <w:i w:val="0"/>
          <w:sz w:val="22"/>
        </w:rPr>
        <w:t>converts all cases to HDF5 format with canonical keys (coords [N,3], node_features [N,4], global_features [18], node_fields [N,6]) and embeds dimensionless groups as training features.</w:t>
      </w:r>
    </w:p>
    <w:p>
      <w:pPr>
        <w:pStyle w:val="ListBullet"/>
        <w:spacing w:after="60"/>
        <w:jc w:val="both"/>
      </w:pPr>
      <w:r>
        <w:rPr>
          <w:rFonts w:ascii="Times New Roman" w:hAnsi="Times New Roman"/>
          <w:b/>
          <w:i w:val="0"/>
          <w:sz w:val="22"/>
        </w:rPr>
        <w:t xml:space="preserve">Module 4 — Multi-Head GNN Surrogate: </w:t>
      </w:r>
      <w:r>
        <w:rPr>
          <w:rFonts w:ascii="Times New Roman" w:hAnsi="Times New Roman"/>
          <w:b w:val="0"/>
          <w:i w:val="0"/>
          <w:sz w:val="22"/>
        </w:rPr>
        <w:t>a shared encoder with 15 message-passing layers and three separate decoder heads (flow: Ux, Uy, Uz, p; heat: T; species: TMA) trained jointly with weighted losses.</w:t>
      </w:r>
    </w:p>
    <w:p>
      <w:pPr>
        <w:pStyle w:val="ListBullet"/>
        <w:spacing w:after="60"/>
        <w:jc w:val="both"/>
      </w:pPr>
      <w:r>
        <w:rPr>
          <w:rFonts w:ascii="Times New Roman" w:hAnsi="Times New Roman"/>
          <w:b/>
          <w:i w:val="0"/>
          <w:sz w:val="22"/>
        </w:rPr>
        <w:t xml:space="preserve">Module 5 — Guardrail Engine: </w:t>
      </w:r>
      <w:r>
        <w:rPr>
          <w:rFonts w:ascii="Times New Roman" w:hAnsi="Times New Roman"/>
          <w:b w:val="0"/>
          <w:i w:val="0"/>
          <w:sz w:val="22"/>
        </w:rPr>
        <w:t>the physics authority layer that computes regime checks, assigns confidence scores, and generates reason codes for any violation.</w:t>
      </w:r>
    </w:p>
    <w:p>
      <w:pPr>
        <w:pStyle w:val="ListBullet"/>
        <w:spacing w:after="60"/>
        <w:jc w:val="both"/>
      </w:pPr>
      <w:r>
        <w:rPr>
          <w:rFonts w:ascii="Times New Roman" w:hAnsi="Times New Roman"/>
          <w:b/>
          <w:i w:val="0"/>
          <w:sz w:val="22"/>
        </w:rPr>
        <w:t xml:space="preserve">Module 6 — Multi-Objective Optimizer: </w:t>
      </w:r>
      <w:r>
        <w:rPr>
          <w:rFonts w:ascii="Times New Roman" w:hAnsi="Times New Roman"/>
          <w:b w:val="0"/>
          <w:i w:val="0"/>
          <w:sz w:val="22"/>
        </w:rPr>
        <w:t>for Track 1, a BoTorch Pareto optimiser over continuous parameters; for Track 2, a random search over 1200 candidates across four topology types with KPI surrogate evaluation.</w:t>
      </w:r>
    </w:p>
    <w:p>
      <w:pPr>
        <w:pStyle w:val="ListBullet"/>
        <w:spacing w:after="60"/>
        <w:jc w:val="both"/>
      </w:pPr>
      <w:r>
        <w:rPr>
          <w:rFonts w:ascii="Times New Roman" w:hAnsi="Times New Roman"/>
          <w:b/>
          <w:i w:val="0"/>
          <w:sz w:val="22"/>
        </w:rPr>
        <w:t xml:space="preserve">Module 7 — Verification Loop: </w:t>
      </w:r>
      <w:r>
        <w:rPr>
          <w:rFonts w:ascii="Times New Roman" w:hAnsi="Times New Roman"/>
          <w:b w:val="0"/>
          <w:i w:val="0"/>
          <w:sz w:val="22"/>
        </w:rPr>
        <w:t>targeted reactingFoam CFD runs on top Pareto candidates to validate surrogate predictions and generate data for surrogate finetuning.</w:t>
      </w:r>
    </w:p>
    <w:p>
      <w:pPr>
        <w:spacing w:before="280" w:after="80"/>
      </w:pPr>
      <w:r>
        <w:rPr>
          <w:rFonts w:ascii="Times New Roman" w:hAnsi="Times New Roman"/>
          <w:b/>
          <w:i w:val="0"/>
          <w:color w:val="003366"/>
          <w:sz w:val="28"/>
        </w:rPr>
        <w:t>4. Physics Guardrail Engine</w:t>
      </w:r>
    </w:p>
    <w:p>
      <w:pPr>
        <w:spacing w:after="120"/>
        <w:jc w:val="both"/>
      </w:pPr>
      <w:r>
        <w:rPr>
          <w:rFonts w:ascii="Times New Roman" w:hAnsi="Times New Roman"/>
          <w:b w:val="0"/>
          <w:i w:val="0"/>
          <w:sz w:val="22"/>
        </w:rPr>
        <w:t>A critical novelty of this framework is the explicit physics guardrail engine that validates every design before surrogate evaluation. This prevents the optimizer from recommending physically invalid designs — a common failure mode of purely data-driven approaches. Each guardrail is a dimensionless number with a user-settable allowable range. We explain each below, with the physical intuition for why it matters in ALD design.</w:t>
      </w:r>
    </w:p>
    <w:p>
      <w:pPr>
        <w:spacing w:before="280" w:after="80"/>
      </w:pPr>
      <w:r>
        <w:rPr>
          <w:rFonts w:ascii="Times New Roman" w:hAnsi="Times New Roman"/>
          <w:b/>
          <w:i w:val="0"/>
          <w:color w:val="003366"/>
          <w:sz w:val="24"/>
        </w:rPr>
        <w:t>4.1 Momentum Transfer Guardrails</w:t>
      </w:r>
    </w:p>
    <w:p>
      <w:pPr>
        <w:spacing w:after="60"/>
        <w:jc w:val="both"/>
      </w:pPr>
      <w:r>
        <w:rPr>
          <w:rFonts w:ascii="Times New Roman" w:hAnsi="Times New Roman"/>
          <w:b/>
          <w:i w:val="0"/>
          <w:sz w:val="22"/>
        </w:rPr>
        <w:t xml:space="preserve">Reynolds Number (Re = rho * V * D / mu): </w:t>
      </w:r>
      <w:r>
        <w:rPr>
          <w:rFonts w:ascii="Times New Roman" w:hAnsi="Times New Roman"/>
          <w:b w:val="0"/>
          <w:i w:val="0"/>
          <w:sz w:val="22"/>
        </w:rPr>
        <w:t>the ratio of inertial forces to viscous forces in the flow. rho [kg/m^3] is the gas density, V [m/s] is the nozzle jet velocity, D [m] is the nozzle diameter, and mu [Pa.s] is the dynamic viscosity. ALD operates at Re &lt;&lt; 2300 (laminar regime). Our surrogate was trained on laminar flow data; if Re exceeds 2300 (transition to turbulence), predictions become unreliable and the guardrail flags this.</w:t>
      </w:r>
    </w:p>
    <w:p>
      <w:pPr>
        <w:spacing w:after="60"/>
        <w:jc w:val="both"/>
      </w:pPr>
      <w:r>
        <w:rPr>
          <w:rFonts w:ascii="Times New Roman" w:hAnsi="Times New Roman"/>
          <w:b/>
          <w:i w:val="0"/>
          <w:sz w:val="22"/>
        </w:rPr>
        <w:t xml:space="preserve">Mach Number (Ma = V / a): </w:t>
      </w:r>
      <w:r>
        <w:rPr>
          <w:rFonts w:ascii="Times New Roman" w:hAnsi="Times New Roman"/>
          <w:b w:val="0"/>
          <w:i w:val="0"/>
          <w:sz w:val="22"/>
        </w:rPr>
        <w:t>the ratio of flow velocity V to the speed of sound a [m/s] in the gas. ALD gases flow at sub-sonic speeds. Ma &gt; 0.3 indicates compressibility effects — the assumption that gas density is constant breaks down, invalidating the incompressible surrogate. Our guard flags Ma &gt; 0.3.</w:t>
      </w:r>
    </w:p>
    <w:p>
      <w:pPr>
        <w:spacing w:after="60"/>
        <w:jc w:val="both"/>
      </w:pPr>
      <w:r>
        <w:rPr>
          <w:rFonts w:ascii="Times New Roman" w:hAnsi="Times New Roman"/>
          <w:b/>
          <w:i w:val="0"/>
          <w:sz w:val="22"/>
        </w:rPr>
        <w:t xml:space="preserve">Euler Number (Eu = Delta_p / (0.5 * rho * V^2)): </w:t>
      </w:r>
      <w:r>
        <w:rPr>
          <w:rFonts w:ascii="Times New Roman" w:hAnsi="Times New Roman"/>
          <w:b w:val="0"/>
          <w:i w:val="0"/>
          <w:sz w:val="22"/>
        </w:rPr>
        <w:t>the ratio of pressure drop Delta_p [Pa] across the showerhead to the dynamic pressure. Note: for ALD creeping flow (Re ~ 1-100), Eu naturally reaches 10^5 to 10^7 — this is physically correct because jet velocities are so small (~ 0.01 m/s) that dynamic pressure is tiny. The guardrail maximum is set to 10^8; values above this indicate an unrealistic geometry (e.g. choked nozzles). We additionally report the absolute pressure drop Delta_p [Pa] as a process-level metric (target &lt; 500 Pa for ALD).</w:t>
      </w:r>
    </w:p>
    <w:p>
      <w:pPr>
        <w:spacing w:before="280" w:after="80"/>
      </w:pPr>
      <w:r>
        <w:rPr>
          <w:rFonts w:ascii="Times New Roman" w:hAnsi="Times New Roman"/>
          <w:b/>
          <w:i w:val="0"/>
          <w:color w:val="003366"/>
          <w:sz w:val="24"/>
        </w:rPr>
        <w:t>4.2 Heat Transfer Guardrails</w:t>
      </w:r>
    </w:p>
    <w:p>
      <w:pPr>
        <w:spacing w:after="60"/>
        <w:jc w:val="both"/>
      </w:pPr>
      <w:r>
        <w:rPr>
          <w:rFonts w:ascii="Times New Roman" w:hAnsi="Times New Roman"/>
          <w:b/>
          <w:i w:val="0"/>
          <w:sz w:val="22"/>
        </w:rPr>
        <w:t xml:space="preserve">Prandtl Number (Pr = cp * mu / k): </w:t>
      </w:r>
      <w:r>
        <w:rPr>
          <w:rFonts w:ascii="Times New Roman" w:hAnsi="Times New Roman"/>
          <w:b w:val="0"/>
          <w:i w:val="0"/>
          <w:sz w:val="22"/>
        </w:rPr>
        <w:t>the ratio of momentum diffusivity to thermal diffusivity. cp [J/(kg.K)] is specific heat, k [W/(m.K)] is thermal conductivity. For N2 (nitrogen) carrier gas at 120 C, Pr ≈ 0.71. Pr is essentially constant for a given gas composition; the guardrail catches cases where fluid properties are inconsistently specified.</w:t>
      </w:r>
    </w:p>
    <w:p>
      <w:pPr>
        <w:spacing w:after="60"/>
        <w:jc w:val="both"/>
      </w:pPr>
      <w:r>
        <w:rPr>
          <w:rFonts w:ascii="Times New Roman" w:hAnsi="Times New Roman"/>
          <w:b/>
          <w:i w:val="0"/>
          <w:sz w:val="22"/>
        </w:rPr>
        <w:t xml:space="preserve">Nusselt Number (Nu = h * L / k): </w:t>
      </w:r>
      <w:r>
        <w:rPr>
          <w:rFonts w:ascii="Times New Roman" w:hAnsi="Times New Roman"/>
          <w:b w:val="0"/>
          <w:i w:val="0"/>
          <w:sz w:val="22"/>
        </w:rPr>
        <w:t>the ratio of convective heat transfer (h [W/(m^2.K)] is the heat transfer coefficient, L [m] is a characteristic length) to conductive heat transfer. Nu bounds from jet-impingement correlations [16] anchor the heat transfer predictions to published experimental ranges.</w:t>
      </w:r>
    </w:p>
    <w:p>
      <w:pPr>
        <w:spacing w:after="60"/>
        <w:jc w:val="both"/>
      </w:pPr>
      <w:r>
        <w:rPr>
          <w:rFonts w:ascii="Times New Roman" w:hAnsi="Times New Roman"/>
          <w:b/>
          <w:i w:val="0"/>
          <w:sz w:val="22"/>
        </w:rPr>
        <w:t xml:space="preserve">Biot Number (Bi = h * L / k_s): </w:t>
      </w:r>
      <w:r>
        <w:rPr>
          <w:rFonts w:ascii="Times New Roman" w:hAnsi="Times New Roman"/>
          <w:b w:val="0"/>
          <w:i w:val="0"/>
          <w:sz w:val="22"/>
        </w:rPr>
        <w:t>the ratio of surface convection to internal conduction in the faceplate, where k_s [W/(m.K)] is the solid thermal conductivity. Bi &lt;&lt; 1 means the faceplate is thermally thin (uniform temperature); Bi &gt;&gt; 1 means significant temperature gradients exist inside the solid. The guardrail ensures the assumed boundary condition (uniform wall temperature) is physically valid.</w:t>
      </w:r>
    </w:p>
    <w:p>
      <w:pPr>
        <w:spacing w:before="280" w:after="80"/>
      </w:pPr>
      <w:r>
        <w:rPr>
          <w:rFonts w:ascii="Times New Roman" w:hAnsi="Times New Roman"/>
          <w:b/>
          <w:i w:val="0"/>
          <w:color w:val="003366"/>
          <w:sz w:val="24"/>
        </w:rPr>
        <w:t>4.3 Mass Transfer and ALD Kinetics Guardrails</w:t>
      </w:r>
    </w:p>
    <w:p>
      <w:pPr>
        <w:spacing w:after="60"/>
        <w:jc w:val="both"/>
      </w:pPr>
      <w:r>
        <w:rPr>
          <w:rFonts w:ascii="Times New Roman" w:hAnsi="Times New Roman"/>
          <w:b/>
          <w:i w:val="0"/>
          <w:sz w:val="22"/>
        </w:rPr>
        <w:t xml:space="preserve">Schmidt Number (Sc = mu / (rho * D_m)): </w:t>
      </w:r>
      <w:r>
        <w:rPr>
          <w:rFonts w:ascii="Times New Roman" w:hAnsi="Times New Roman"/>
          <w:b w:val="0"/>
          <w:i w:val="0"/>
          <w:sz w:val="22"/>
        </w:rPr>
        <w:t>the ratio of momentum diffusivity to mass diffusivity. D_m [m^2/s] is the molecular diffusivity of TMA in N2. For TMA in N2, Sc ≈ 1-3. Sc bounds ensure the diffusion-convection balance in the species transport equation is consistent with the surrogate training distribution.</w:t>
      </w:r>
    </w:p>
    <w:p>
      <w:pPr>
        <w:spacing w:after="60"/>
        <w:jc w:val="both"/>
      </w:pPr>
      <w:r>
        <w:rPr>
          <w:rFonts w:ascii="Times New Roman" w:hAnsi="Times New Roman"/>
          <w:b/>
          <w:i w:val="0"/>
          <w:sz w:val="22"/>
        </w:rPr>
        <w:t xml:space="preserve">Sherwood Number (Sh = k_m * L / D_m): </w:t>
      </w:r>
      <w:r>
        <w:rPr>
          <w:rFonts w:ascii="Times New Roman" w:hAnsi="Times New Roman"/>
          <w:b w:val="0"/>
          <w:i w:val="0"/>
          <w:sz w:val="22"/>
        </w:rPr>
        <w:t>the mass-transfer analogue of Nusselt: the ratio of convective mass transfer (k_m [m/s] is the mass transfer coefficient) to diffusive mass transfer. Sh bounds, anchored to the Mendeley Sh-Re-Sc dataset [17], validate that predicted species transport is physically realistic.</w:t>
      </w:r>
    </w:p>
    <w:p>
      <w:pPr>
        <w:spacing w:after="60"/>
        <w:jc w:val="both"/>
      </w:pPr>
      <w:r>
        <w:rPr>
          <w:rFonts w:ascii="Times New Roman" w:hAnsi="Times New Roman"/>
          <w:b/>
          <w:i w:val="0"/>
          <w:sz w:val="22"/>
        </w:rPr>
        <w:t xml:space="preserve">Peclet Numbers (Pe_h = Re * Pr, Pe_m = Re * Sc): </w:t>
      </w:r>
      <w:r>
        <w:rPr>
          <w:rFonts w:ascii="Times New Roman" w:hAnsi="Times New Roman"/>
          <w:b w:val="0"/>
          <w:i w:val="0"/>
          <w:sz w:val="22"/>
        </w:rPr>
        <w:t>dimensionless measures of advection strength relative to diffusion, for heat (Pe_h) and mass (Pe_m) respectively. Large Pe means advection dominates; small Pe means diffusion dominates. ALD operates at Pe_m ≈ 0.1-10 (diffusion-important regime); the guardrail prevents evaluation in regimes where the surrogate has not been trained.</w:t>
      </w:r>
    </w:p>
    <w:p>
      <w:pPr>
        <w:spacing w:after="60"/>
        <w:jc w:val="both"/>
      </w:pPr>
      <w:r>
        <w:rPr>
          <w:rFonts w:ascii="Times New Roman" w:hAnsi="Times New Roman"/>
          <w:b/>
          <w:i w:val="0"/>
          <w:sz w:val="22"/>
        </w:rPr>
        <w:t xml:space="preserve">Damkohler Number (Da = k_rxn * L / V): </w:t>
      </w:r>
      <w:r>
        <w:rPr>
          <w:rFonts w:ascii="Times New Roman" w:hAnsi="Times New Roman"/>
          <w:b w:val="0"/>
          <w:i w:val="0"/>
          <w:sz w:val="22"/>
        </w:rPr>
        <w:t>the ratio of the surface reaction rate k_rxn [m/s] to the convective transport rate V/L [1/s]. Da &lt;&lt; 1: the reaction is slow relative to transport — the ideal ALD self-limiting regime where surface coverage is uniform. Da &gt;&gt; 1: the precursor is consumed before it can spread uniformly — a recipe for non-uniform deposition. The guardrail enforces Da within [0.001, 100] to stay in the data-supported regime.</w:t>
      </w:r>
    </w:p>
    <w:p>
      <w:pPr>
        <w:spacing w:before="280" w:after="80"/>
      </w:pPr>
      <w:r>
        <w:rPr>
          <w:rFonts w:ascii="Times New Roman" w:hAnsi="Times New Roman"/>
          <w:b/>
          <w:i w:val="0"/>
          <w:color w:val="003366"/>
          <w:sz w:val="28"/>
        </w:rPr>
        <w:t>5. Track 1 — Physics-Constrained Geometric Morphogenesis (PCGM)</w:t>
      </w:r>
    </w:p>
    <w:p>
      <w:pPr>
        <w:spacing w:after="120"/>
        <w:jc w:val="both"/>
      </w:pPr>
      <w:r>
        <w:rPr>
          <w:rFonts w:ascii="Times New Roman" w:hAnsi="Times New Roman"/>
          <w:b w:val="0"/>
          <w:i w:val="0"/>
          <w:sz w:val="22"/>
        </w:rPr>
        <w:t>PCGM generates showerhead geometries from five continuous design parameters. Unlike traditional mesh-based approaches, PCGM produces a point cloud directly from parametric rules, bypassing the need for mesh generation entirely.</w:t>
      </w:r>
    </w:p>
    <w:p>
      <w:pPr>
        <w:spacing w:before="280" w:after="80"/>
      </w:pPr>
      <w:r>
        <w:rPr>
          <w:rFonts w:ascii="Times New Roman" w:hAnsi="Times New Roman"/>
          <w:b/>
          <w:i w:val="0"/>
          <w:color w:val="003366"/>
          <w:sz w:val="24"/>
        </w:rPr>
        <w:t>5.1 Dataset Generation</w:t>
      </w:r>
    </w:p>
    <w:p>
      <w:pPr>
        <w:spacing w:after="120"/>
        <w:jc w:val="both"/>
      </w:pPr>
      <w:r>
        <w:rPr>
          <w:rFonts w:ascii="Times New Roman" w:hAnsi="Times New Roman"/>
          <w:b w:val="0"/>
          <w:i w:val="0"/>
          <w:sz w:val="22"/>
        </w:rPr>
        <w:t>We generated 83 OpenFOAM reactingFoam simulations spanning a five-dimensional design space: nozzle diameter D in [1.0, 3.0] mm, pitch-to-diameter ratio pitch/D in [3.0, 6.0], volumetric flow rate Q in [1.0, 10.0] slm (Standard Litres per Minute), plenum height H in [15.0, 25.0] mm, and faceplate thickness t in [2.0, 4.0] mm. Each simulation was run using the reactingFoam solver (OpenFOAM v2512, Docker image opencfd/openfoam-default) with automatic turbulence model selection: laminar for Re &lt; 2300, k-omega SST (Shear Stress Transport) for Re &gt;= 2300. Simulations were parallelised in groups of 4 on a local machine using Docker containerisation, taking approximately 6-10 minutes per case. Results were postprocessed using the fluidfoam library into HDF5 format with fields: Ux, Uy, Uz (velocity components [m/s]), p (gauge pressure [Pa]), T (temperature [K]), and TMA (Trimethylaluminium mass fraction [-]).</w:t>
      </w:r>
    </w:p>
    <w:p>
      <w:pPr>
        <w:spacing w:after="120"/>
        <w:jc w:val="both"/>
      </w:pPr>
      <w:r>
        <w:rPr>
          <w:rFonts w:ascii="Times New Roman" w:hAnsi="Times New Roman"/>
          <w:b w:val="0"/>
          <w:i w:val="0"/>
          <w:sz w:val="22"/>
        </w:rPr>
        <w:t>The TMA Uniformity Index (TMA-UI) — a key performance metric — is defined as:</w:t>
      </w:r>
    </w:p>
    <w:p>
      <w:pPr>
        <w:spacing w:before="80" w:after="80"/>
        <w:jc w:val="center"/>
      </w:pPr>
      <w:r>
        <w:rPr>
          <w:rFonts w:ascii="Courier New" w:hAnsi="Courier New"/>
          <w:b w:val="0"/>
          <w:i/>
          <w:sz w:val="20"/>
        </w:rPr>
        <w:t>TMA-UI = 1 - std(TMA_wafer) / mean(TMA_wafer)</w:t>
      </w:r>
    </w:p>
    <w:p>
      <w:pPr>
        <w:spacing w:after="120"/>
        <w:jc w:val="both"/>
      </w:pPr>
      <w:r>
        <w:rPr>
          <w:rFonts w:ascii="Times New Roman" w:hAnsi="Times New Roman"/>
          <w:b w:val="0"/>
          <w:i w:val="0"/>
          <w:sz w:val="22"/>
        </w:rPr>
        <w:t>where std and mean are computed over the wafer-adjacent cells (bottom 5% of the domain by z-coordinate). TMA-UI ranges from (-inf, 1]; higher is better. TMA-UI = 1 indicates perfect uniformity; negative values indicate the standard deviation exceeds the mean (highly non-uniform). Across the 83 Track 1 cases, TMA-UI ranged from 0.34 to 0.59 (mean 0.50).</w:t>
      </w:r>
    </w:p>
    <w:p>
      <w:pPr>
        <w:spacing w:before="280" w:after="80"/>
      </w:pPr>
      <w:r>
        <w:rPr>
          <w:rFonts w:ascii="Times New Roman" w:hAnsi="Times New Roman"/>
          <w:b/>
          <w:i w:val="0"/>
          <w:color w:val="003366"/>
          <w:sz w:val="24"/>
        </w:rPr>
        <w:t>5.2 Multi-Head MeshGraphNet Surrogate</w:t>
      </w:r>
    </w:p>
    <w:p>
      <w:pPr>
        <w:spacing w:after="120"/>
        <w:jc w:val="both"/>
      </w:pPr>
      <w:r>
        <w:rPr>
          <w:rFonts w:ascii="Times New Roman" w:hAnsi="Times New Roman"/>
          <w:b w:val="0"/>
          <w:i w:val="0"/>
          <w:sz w:val="22"/>
        </w:rPr>
        <w:t>The GNN surrogate — MultiHeadMGN — follows the MeshGraphNet architecture [6] with three modifications: (1) three independent decoder heads for flow, heat, and species; (2) LayerNorm applied after each hidden layer in the MLPs; and (3) a species head loss weighted 50x to prioritise TMA field learning. The architecture is:</w:t>
      </w:r>
    </w:p>
    <w:p>
      <w:pPr>
        <w:pStyle w:val="ListBullet"/>
        <w:spacing w:after="60"/>
        <w:jc w:val="both"/>
      </w:pPr>
      <w:r>
        <w:rPr>
          <w:rFonts w:ascii="Times New Roman" w:hAnsi="Times New Roman"/>
          <w:b/>
          <w:i w:val="0"/>
          <w:sz w:val="22"/>
        </w:rPr>
        <w:t xml:space="preserve">Node encoder: </w:t>
      </w:r>
      <w:r>
        <w:rPr>
          <w:rFonts w:ascii="Times New Roman" w:hAnsi="Times New Roman"/>
          <w:b w:val="0"/>
          <w:i w:val="0"/>
          <w:sz w:val="22"/>
        </w:rPr>
        <w:t>22-dimensional input (4 node features + 18 global physics features) → 256-dimensional latent space via a 2-layer MLP.</w:t>
      </w:r>
    </w:p>
    <w:p>
      <w:pPr>
        <w:pStyle w:val="ListBullet"/>
        <w:spacing w:after="60"/>
        <w:jc w:val="both"/>
      </w:pPr>
      <w:r>
        <w:rPr>
          <w:rFonts w:ascii="Times New Roman" w:hAnsi="Times New Roman"/>
          <w:b/>
          <w:i w:val="0"/>
          <w:sz w:val="22"/>
        </w:rPr>
        <w:t xml:space="preserve">Edge encoder: </w:t>
      </w:r>
      <w:r>
        <w:rPr>
          <w:rFonts w:ascii="Times New Roman" w:hAnsi="Times New Roman"/>
          <w:b w:val="0"/>
          <w:i w:val="0"/>
          <w:sz w:val="22"/>
        </w:rPr>
        <w:t>4-dimensional edge features (relative position + distance, normalised by median edge length) → 256-dimensional latent space.</w:t>
      </w:r>
    </w:p>
    <w:p>
      <w:pPr>
        <w:pStyle w:val="ListBullet"/>
        <w:spacing w:after="60"/>
        <w:jc w:val="both"/>
      </w:pPr>
      <w:r>
        <w:rPr>
          <w:rFonts w:ascii="Times New Roman" w:hAnsi="Times New Roman"/>
          <w:b/>
          <w:i w:val="0"/>
          <w:sz w:val="22"/>
        </w:rPr>
        <w:t xml:space="preserve">Message passing: </w:t>
      </w:r>
      <w:r>
        <w:rPr>
          <w:rFonts w:ascii="Times New Roman" w:hAnsi="Times New Roman"/>
          <w:b w:val="0"/>
          <w:i w:val="0"/>
          <w:sz w:val="22"/>
        </w:rPr>
        <w:t>15 MGNProcessor layers, each performing edge update (concat node_i, node_j, edge → edge MLP → residual) followed by node aggregation (sum) and node update (concat node, aggregated → node MLP → residual).</w:t>
      </w:r>
    </w:p>
    <w:p>
      <w:pPr>
        <w:pStyle w:val="ListBullet"/>
        <w:spacing w:after="60"/>
        <w:jc w:val="both"/>
      </w:pPr>
      <w:r>
        <w:rPr>
          <w:rFonts w:ascii="Times New Roman" w:hAnsi="Times New Roman"/>
          <w:b/>
          <w:i w:val="0"/>
          <w:sz w:val="22"/>
        </w:rPr>
        <w:t xml:space="preserve">Decoder heads: </w:t>
      </w:r>
      <w:r>
        <w:rPr>
          <w:rFonts w:ascii="Times New Roman" w:hAnsi="Times New Roman"/>
          <w:b w:val="0"/>
          <w:i w:val="0"/>
          <w:sz w:val="22"/>
        </w:rPr>
        <w:t>Flow head: 256 → 4 (Ux, Uy, Uz, p). Heat head: 256 → 1 (T). Species head: 256 → 1 (TMA).</w:t>
      </w:r>
    </w:p>
    <w:p>
      <w:pPr>
        <w:spacing w:after="120"/>
        <w:jc w:val="both"/>
      </w:pPr>
      <w:r>
        <w:rPr>
          <w:rFonts w:ascii="Times New Roman" w:hAnsi="Times New Roman"/>
          <w:b w:val="0"/>
          <w:i w:val="0"/>
          <w:sz w:val="22"/>
        </w:rPr>
        <w:t>The model was trained for 200 epochs with the AdamW optimiser (learning rate 3e-4, weight decay 1e-4, cosine annealing schedule) on a Google Colab A100 GPU, completing in approximately 2 hours. k-nearest-neighbour graphs (k=6) were pre-cached to GPU before training to avoid repeated graph construction. A fixed 73/10 train/validation split (seed=42) was used for Track 1-only training.</w:t>
      </w:r>
    </w:p>
    <w:p>
      <w:pPr>
        <w:spacing w:before="280" w:after="80"/>
      </w:pPr>
      <w:r>
        <w:rPr>
          <w:rFonts w:ascii="Times New Roman" w:hAnsi="Times New Roman"/>
          <w:b/>
          <w:i w:val="0"/>
          <w:color w:val="003366"/>
          <w:sz w:val="24"/>
        </w:rPr>
        <w:t>5.3 Multi-Fidelity KPI Surrogate</w:t>
      </w:r>
    </w:p>
    <w:p>
      <w:pPr>
        <w:spacing w:after="120"/>
        <w:jc w:val="both"/>
      </w:pPr>
      <w:r>
        <w:rPr>
          <w:rFonts w:ascii="Times New Roman" w:hAnsi="Times New Roman"/>
          <w:b w:val="0"/>
          <w:i w:val="0"/>
          <w:sz w:val="22"/>
        </w:rPr>
        <w:t>Because the GNN surrogate correctly predicts pressure and temperature fields (relative MAE &lt; 1%) but cannot resolve TMA spatial gradients (which exist only in a sub-millimetre boundary layer at the wafer surface not resolved by the current mesh), we trained a complementary multi-fidelity KPI surrogate specifically for design ranking.</w:t>
      </w:r>
    </w:p>
    <w:p>
      <w:pPr>
        <w:spacing w:after="120"/>
        <w:jc w:val="both"/>
      </w:pPr>
      <w:r>
        <w:rPr>
          <w:rFonts w:ascii="Times New Roman" w:hAnsi="Times New Roman"/>
          <w:b w:val="0"/>
          <w:i w:val="0"/>
          <w:sz w:val="22"/>
        </w:rPr>
        <w:t>The KPI surrogate is a 3-hidden-layer MLP (64 units, SiLU activations, LayerNorm) mapping 27 input features to TMA-UI. The 27 features comprise:</w:t>
      </w:r>
    </w:p>
    <w:p>
      <w:pPr>
        <w:pStyle w:val="ListBullet"/>
        <w:spacing w:after="60"/>
        <w:jc w:val="both"/>
      </w:pPr>
      <w:r>
        <w:rPr>
          <w:rFonts w:ascii="Times New Roman" w:hAnsi="Times New Roman"/>
          <w:b/>
          <w:i w:val="0"/>
          <w:sz w:val="22"/>
        </w:rPr>
        <w:t xml:space="preserve">Global physics features [18]: </w:t>
      </w:r>
      <w:r>
        <w:rPr>
          <w:rFonts w:ascii="Times New Roman" w:hAnsi="Times New Roman"/>
          <w:b w:val="0"/>
          <w:i w:val="0"/>
          <w:sz w:val="22"/>
        </w:rPr>
        <w:t>Reynolds number Re, Mach Ma, Euler Eu, Prandtl Pr, Schmidt Sc, Peclet Pe_h and Pe_m, Damkohler Da, nozzle diameter, pitch/D, plenum height, faceplate thickness, standoff, thermal velocity, beta (sticking coefficient), and additional derived quantities.</w:t>
      </w:r>
    </w:p>
    <w:p>
      <w:pPr>
        <w:pStyle w:val="ListBullet"/>
        <w:spacing w:after="60"/>
        <w:jc w:val="both"/>
      </w:pPr>
      <w:r>
        <w:rPr>
          <w:rFonts w:ascii="Times New Roman" w:hAnsi="Times New Roman"/>
          <w:b/>
          <w:i w:val="0"/>
          <w:sz w:val="22"/>
        </w:rPr>
        <w:t xml:space="preserve">Wafer-plane CFD statistics [9]: </w:t>
      </w:r>
      <w:r>
        <w:rPr>
          <w:rFonts w:ascii="Times New Roman" w:hAnsi="Times New Roman"/>
          <w:b w:val="0"/>
          <w:i w:val="0"/>
          <w:sz w:val="22"/>
        </w:rPr>
        <w:t>mean and standard deviation of vertical velocity Uz, pressure p, temperature T, and TMA concentration at the wafer-plane cells, plus the Uz uniformity index (1 - std(Uz)/mean(Uz)).</w:t>
      </w:r>
    </w:p>
    <w:p>
      <w:pPr>
        <w:spacing w:after="120"/>
        <w:jc w:val="both"/>
      </w:pPr>
      <w:r>
        <w:rPr>
          <w:rFonts w:ascii="Times New Roman" w:hAnsi="Times New Roman"/>
          <w:b w:val="0"/>
          <w:i w:val="0"/>
          <w:sz w:val="22"/>
        </w:rPr>
        <w:t>5-fold cross-validation was used to train and evaluate the surrogate. Out-of-fold (OOF) metrics — where each case is predicted by the model that never saw it during training — provide an honest estimate of generalisation performance:</w:t>
      </w:r>
    </w:p>
    <w:p>
      <w:pPr>
        <w:spacing w:before="80" w:after="80"/>
        <w:jc w:val="center"/>
      </w:pPr>
      <w:r>
        <w:rPr>
          <w:rFonts w:ascii="Courier New" w:hAnsi="Courier New"/>
          <w:b w:val="0"/>
          <w:i/>
          <w:sz w:val="20"/>
        </w:rPr>
        <w:t>OOF R^2 = 0.81    OOF Spearman rho = 0.88    (p = 6.6e-15)</w:t>
      </w:r>
    </w:p>
    <w:p>
      <w:pPr>
        <w:spacing w:after="120"/>
        <w:jc w:val="both"/>
      </w:pPr>
      <w:r>
        <w:rPr>
          <w:rFonts w:ascii="Times New Roman" w:hAnsi="Times New Roman"/>
          <w:b w:val="0"/>
          <w:i w:val="0"/>
          <w:sz w:val="22"/>
        </w:rPr>
        <w:t>The ensemble of all 5 fold models further improves performance:</w:t>
      </w:r>
    </w:p>
    <w:p>
      <w:pPr>
        <w:spacing w:before="80" w:after="80"/>
        <w:jc w:val="center"/>
      </w:pPr>
      <w:r>
        <w:rPr>
          <w:rFonts w:ascii="Courier New" w:hAnsi="Courier New"/>
          <w:b w:val="0"/>
          <w:i/>
          <w:sz w:val="20"/>
        </w:rPr>
        <w:t>Ensemble R^2 = 0.98    Ensemble Spearman rho = 0.98</w:t>
      </w:r>
    </w:p>
    <w:p>
      <w:pPr>
        <w:spacing w:after="120"/>
        <w:jc w:val="both"/>
      </w:pPr>
      <w:r>
        <w:rPr>
          <w:rFonts w:ascii="Times New Roman" w:hAnsi="Times New Roman"/>
          <w:b w:val="0"/>
          <w:i w:val="0"/>
          <w:sz w:val="22"/>
        </w:rPr>
        <w:t>A Spearman rank correlation of rho = 0.88 means the surrogate correctly ranks approximately 88% of design pairs by TMA uniformity — sufficient for the multi-objective optimizer to reliably identify high-performing designs.</w:t>
      </w:r>
    </w:p>
    <w:p>
      <w:pPr>
        <w:spacing w:before="280" w:after="80"/>
      </w:pPr>
      <w:r>
        <w:rPr>
          <w:rFonts w:ascii="Times New Roman" w:hAnsi="Times New Roman"/>
          <w:b/>
          <w:i w:val="0"/>
          <w:color w:val="003366"/>
          <w:sz w:val="28"/>
        </w:rPr>
        <w:t>6. Track 2 — Voxel-Implicit Computational Engineering Synthesis (VICES)</w:t>
      </w:r>
    </w:p>
    <w:p>
      <w:pPr>
        <w:spacing w:after="120"/>
        <w:jc w:val="both"/>
      </w:pPr>
      <w:r>
        <w:rPr>
          <w:rFonts w:ascii="Times New Roman" w:hAnsi="Times New Roman"/>
          <w:b w:val="0"/>
          <w:i w:val="0"/>
          <w:sz w:val="22"/>
        </w:rPr>
        <w:t>Track 2 introduces a fundamentally different approach to geometry creation: instead of varying parameters within a fixed topology, VICES synthesises geometries with different internal structures using CSG boolean operations on SDF representations. This allows the optimizer to explore designs that Track 1 cannot even represent.</w:t>
      </w:r>
    </w:p>
    <w:p>
      <w:pPr>
        <w:spacing w:before="280" w:after="80"/>
      </w:pPr>
      <w:r>
        <w:rPr>
          <w:rFonts w:ascii="Times New Roman" w:hAnsi="Times New Roman"/>
          <w:b/>
          <w:i w:val="0"/>
          <w:color w:val="003366"/>
          <w:sz w:val="24"/>
        </w:rPr>
        <w:t>6.1 Signed Distance Fields and CSG</w:t>
      </w:r>
    </w:p>
    <w:p>
      <w:pPr>
        <w:spacing w:after="120"/>
        <w:jc w:val="both"/>
      </w:pPr>
      <w:r>
        <w:rPr>
          <w:rFonts w:ascii="Times New Roman" w:hAnsi="Times New Roman"/>
          <w:b w:val="0"/>
          <w:i w:val="0"/>
          <w:sz w:val="22"/>
        </w:rPr>
        <w:t>A Signed Distance Field (SDF) is a function f(x, y, z) that returns the shortest distance from the point (x, y, z) to the nearest surface of an object, with a negative sign if the point is inside the object and a positive sign if outside. For primitive shapes, SDFs have simple analytical forms. For example, a cylinder centred at (cx, cy, cz) with radius r and height h has SDF:</w:t>
      </w:r>
    </w:p>
    <w:p>
      <w:pPr>
        <w:spacing w:before="80" w:after="80"/>
        <w:jc w:val="center"/>
      </w:pPr>
      <w:r>
        <w:rPr>
          <w:rFonts w:ascii="Courier New" w:hAnsi="Courier New"/>
          <w:b w:val="0"/>
          <w:i/>
          <w:sz w:val="20"/>
        </w:rPr>
        <w:t>f_cylinder(x,y,z) = max(sqrt((x-cx)^2 + (y-cy)^2) - r,  |z-cz| - h/2)</w:t>
      </w:r>
    </w:p>
    <w:p>
      <w:pPr>
        <w:spacing w:after="120"/>
        <w:jc w:val="both"/>
      </w:pPr>
      <w:r>
        <w:rPr>
          <w:rFonts w:ascii="Times New Roman" w:hAnsi="Times New Roman"/>
          <w:b w:val="0"/>
          <w:i w:val="0"/>
          <w:sz w:val="22"/>
        </w:rPr>
        <w:t>The key property that makes SDFs powerful for CSG is that boolean operations reduce to elementwise mathematical operations on scalar values:</w:t>
      </w:r>
    </w:p>
    <w:p>
      <w:pPr>
        <w:spacing w:before="80" w:after="80"/>
        <w:jc w:val="center"/>
      </w:pPr>
      <w:r>
        <w:rPr>
          <w:rFonts w:ascii="Courier New" w:hAnsi="Courier New"/>
          <w:b w:val="0"/>
          <w:i/>
          <w:sz w:val="20"/>
        </w:rPr>
        <w:t>Union(A, B):     f = min(f_A, f_B)</w:t>
      </w:r>
    </w:p>
    <w:p>
      <w:pPr>
        <w:spacing w:before="80" w:after="80"/>
        <w:jc w:val="center"/>
      </w:pPr>
      <w:r>
        <w:rPr>
          <w:rFonts w:ascii="Courier New" w:hAnsi="Courier New"/>
          <w:b w:val="0"/>
          <w:i/>
          <w:sz w:val="20"/>
        </w:rPr>
        <w:t>Subtract(A, B):  f = max(f_A, -f_B)</w:t>
      </w:r>
    </w:p>
    <w:p>
      <w:pPr>
        <w:spacing w:before="80" w:after="80"/>
        <w:jc w:val="center"/>
      </w:pPr>
      <w:r>
        <w:rPr>
          <w:rFonts w:ascii="Courier New" w:hAnsi="Courier New"/>
          <w:b w:val="0"/>
          <w:i/>
          <w:sz w:val="20"/>
        </w:rPr>
        <w:t>Intersect(A, B): f = max(f_A, f_B)</w:t>
      </w:r>
    </w:p>
    <w:p>
      <w:pPr>
        <w:spacing w:after="120"/>
        <w:jc w:val="both"/>
      </w:pPr>
      <w:r>
        <w:rPr>
          <w:rFonts w:ascii="Times New Roman" w:hAnsi="Times New Roman"/>
          <w:b w:val="0"/>
          <w:i w:val="0"/>
          <w:sz w:val="22"/>
        </w:rPr>
        <w:t>These operations are exact (no approximation error), computationally cheap (a single floating-point comparison per voxel), and compose arbitrarily to create complex shapes from simple primitives.</w:t>
      </w:r>
    </w:p>
    <w:p>
      <w:pPr>
        <w:spacing w:before="280" w:after="80"/>
      </w:pPr>
      <w:r>
        <w:rPr>
          <w:rFonts w:ascii="Times New Roman" w:hAnsi="Times New Roman"/>
          <w:b/>
          <w:i w:val="0"/>
          <w:color w:val="003366"/>
          <w:sz w:val="24"/>
        </w:rPr>
        <w:t>6.2 Catalan Numbers and the CSG Design Space</w:t>
      </w:r>
    </w:p>
    <w:p>
      <w:pPr>
        <w:spacing w:after="120"/>
        <w:jc w:val="both"/>
      </w:pPr>
      <w:r>
        <w:rPr>
          <w:rFonts w:ascii="Times New Roman" w:hAnsi="Times New Roman"/>
          <w:b w:val="0"/>
          <w:i w:val="0"/>
          <w:sz w:val="22"/>
        </w:rPr>
        <w:t>A critical insight of this work is the formal characterisation of the Track 2 design space using Catalan numbers from combinatorics.</w:t>
      </w:r>
    </w:p>
    <w:p>
      <w:pPr>
        <w:spacing w:after="120"/>
        <w:jc w:val="both"/>
      </w:pPr>
      <w:r>
        <w:rPr>
          <w:rFonts w:ascii="Times New Roman" w:hAnsi="Times New Roman"/>
          <w:b w:val="0"/>
          <w:i w:val="0"/>
          <w:sz w:val="22"/>
        </w:rPr>
        <w:t>A CSG tree is a binary tree where each internal node is a boolean operation (Union, Subtract, or Intersect) and each leaf node is a primitive shape. For n primitive shapes, the number of distinct binary tree topologies (ignoring which operation is at each node) is the (n-1)-th Catalan number C(n-1):</w:t>
      </w:r>
    </w:p>
    <w:p>
      <w:pPr>
        <w:spacing w:before="80" w:after="80"/>
        <w:jc w:val="center"/>
      </w:pPr>
      <w:r>
        <w:rPr>
          <w:rFonts w:ascii="Courier New" w:hAnsi="Courier New"/>
          <w:b w:val="0"/>
          <w:i/>
          <w:sz w:val="20"/>
        </w:rPr>
        <w:t>C(n) = (1/(n+1)) * C(2n, n) = 1, 1, 2, 5, 14, 42, 132, ...</w:t>
      </w:r>
    </w:p>
    <w:p>
      <w:pPr>
        <w:spacing w:after="120"/>
        <w:jc w:val="both"/>
      </w:pPr>
      <w:r>
        <w:rPr>
          <w:rFonts w:ascii="Times New Roman" w:hAnsi="Times New Roman"/>
          <w:b w:val="0"/>
          <w:i w:val="0"/>
          <w:sz w:val="22"/>
        </w:rPr>
        <w:t>With 3 boolean operations per node and n leaf primitives, the total number of distinct CSG expressions grows as C(n-1) * 3^(n-1). For example, with 6 primitives: C(5) = 42 tree topologies * 3^5 = 243 operation assignments = 10,206 distinct CSG expressions before varying any continuous dimension. This characterisation formally bounds the combinatorial complexity of the Track 2 design space.</w:t>
      </w:r>
    </w:p>
    <w:p>
      <w:pPr>
        <w:spacing w:before="280" w:after="80"/>
      </w:pPr>
      <w:r>
        <w:rPr>
          <w:rFonts w:ascii="Times New Roman" w:hAnsi="Times New Roman"/>
          <w:b/>
          <w:i w:val="0"/>
          <w:color w:val="003366"/>
          <w:sz w:val="24"/>
        </w:rPr>
        <w:t>6.3 Marching Cubes Triangulation</w:t>
      </w:r>
    </w:p>
    <w:p>
      <w:pPr>
        <w:spacing w:after="120"/>
        <w:jc w:val="both"/>
      </w:pPr>
      <w:r>
        <w:rPr>
          <w:rFonts w:ascii="Times New Roman" w:hAnsi="Times New Roman"/>
          <w:b w:val="0"/>
          <w:i w:val="0"/>
          <w:sz w:val="22"/>
        </w:rPr>
        <w:t>Once the CSG tree is evaluated on a voxel grid (resolution 64^3 = 262,144 voxels in this work), Marching Cubes [12] converts the scalar SDF volume into a triangle mesh. Each 2x2x2 cube of voxels is classified by the signs of its 8 corners (inside/outside), giving 256 possible configurations. By symmetry, these reduce to 15 unique surface topologies stored in a precomputed lookup table. The algorithm places triangles along voxel edges where the SDF changes sign — the zero-crossing that defines the surface. This produces a watertight triangle mesh in seconds on a standard CPU.</w:t>
      </w:r>
    </w:p>
    <w:p>
      <w:pPr>
        <w:spacing w:before="280" w:after="80"/>
      </w:pPr>
      <w:r>
        <w:rPr>
          <w:rFonts w:ascii="Times New Roman" w:hAnsi="Times New Roman"/>
          <w:b/>
          <w:i w:val="0"/>
          <w:color w:val="003366"/>
          <w:sz w:val="24"/>
        </w:rPr>
        <w:t>6.4 The Four Topology Types</w:t>
      </w:r>
    </w:p>
    <w:p>
      <w:pPr>
        <w:spacing w:after="120"/>
        <w:jc w:val="both"/>
      </w:pPr>
      <w:r>
        <w:rPr>
          <w:rFonts w:ascii="Times New Roman" w:hAnsi="Times New Roman"/>
          <w:b w:val="0"/>
          <w:i w:val="0"/>
          <w:sz w:val="22"/>
        </w:rPr>
        <w:t>We explore four geometry families, each with a distinct CSG tree structure and physical motivation:</w:t>
      </w:r>
    </w:p>
    <w:p>
      <w:pPr>
        <w:pStyle w:val="ListBullet"/>
        <w:spacing w:after="60"/>
        <w:jc w:val="both"/>
      </w:pPr>
      <w:r>
        <w:rPr>
          <w:rFonts w:ascii="Times New Roman" w:hAnsi="Times New Roman"/>
          <w:b/>
          <w:i w:val="0"/>
          <w:sz w:val="22"/>
        </w:rPr>
        <w:t xml:space="preserve">Type A — Baffled Plenum: </w:t>
      </w:r>
      <w:r>
        <w:rPr>
          <w:rFonts w:ascii="Times New Roman" w:hAnsi="Times New Roman"/>
          <w:b w:val="0"/>
          <w:i w:val="0"/>
          <w:sz w:val="22"/>
        </w:rPr>
        <w:t>an annular baffle ring (a cylinder with a cylindrical hole) is subtracted from the plenum body, creating a barrier that forces gas to flow radially around it before reaching the nozzle plate. CSG tree: Subtract(Subtract(Plenum_Cylinder, Baffle_Annulus), Nozzle_Union). Key parameter: baffle_frac, the baffle z-position as a fraction of plenum height (0.3 = near faceplate, 0.7 = near inlet).</w:t>
      </w:r>
    </w:p>
    <w:p>
      <w:pPr>
        <w:pStyle w:val="ListBullet"/>
        <w:spacing w:after="60"/>
        <w:jc w:val="both"/>
      </w:pPr>
      <w:r>
        <w:rPr>
          <w:rFonts w:ascii="Times New Roman" w:hAnsi="Times New Roman"/>
          <w:b/>
          <w:i w:val="0"/>
          <w:sz w:val="22"/>
        </w:rPr>
        <w:t xml:space="preserve">Type B — Conical Diffuser: </w:t>
      </w:r>
      <w:r>
        <w:rPr>
          <w:rFonts w:ascii="Times New Roman" w:hAnsi="Times New Roman"/>
          <w:b w:val="0"/>
          <w:i w:val="0"/>
          <w:sz w:val="22"/>
        </w:rPr>
        <w:t>a cone protrudes downward from the inlet face, deflecting the inlet gas jet radially outward before it enters the plenum. CSG tree: Subtract(Subtract(Plenum_Cylinder, Cone_Indent), Nozzle_Union). Key parameter: cone_r_frac, the cone base radius as a fraction of plate radius (larger = stronger radial deflection).</w:t>
      </w:r>
    </w:p>
    <w:p>
      <w:pPr>
        <w:pStyle w:val="ListBullet"/>
        <w:spacing w:after="60"/>
        <w:jc w:val="both"/>
      </w:pPr>
      <w:r>
        <w:rPr>
          <w:rFonts w:ascii="Times New Roman" w:hAnsi="Times New Roman"/>
          <w:b/>
          <w:i w:val="0"/>
          <w:sz w:val="22"/>
        </w:rPr>
        <w:t xml:space="preserve">Type C — Annular Ring Nozzles: </w:t>
      </w:r>
      <w:r>
        <w:rPr>
          <w:rFonts w:ascii="Times New Roman" w:hAnsi="Times New Roman"/>
          <w:b w:val="0"/>
          <w:i w:val="0"/>
          <w:sz w:val="22"/>
        </w:rPr>
        <w:t>instead of the hex-packed array used in Track 1, nozzles are arranged in equally-spaced concentric rings. The number of nozzles per ring scales with ring circumference, giving more peripheral nozzles. CSG tree: Subtract(Plenum_Cylinder, Union(Ring_0_Nozzles, Ring_1_Nozzles, ...)). Key parameter: n_rings, the number of concentric rings (2-5).</w:t>
      </w:r>
    </w:p>
    <w:p>
      <w:pPr>
        <w:pStyle w:val="ListBullet"/>
        <w:spacing w:after="60"/>
        <w:jc w:val="both"/>
      </w:pPr>
      <w:r>
        <w:rPr>
          <w:rFonts w:ascii="Times New Roman" w:hAnsi="Times New Roman"/>
          <w:b/>
          <w:i w:val="0"/>
          <w:sz w:val="22"/>
        </w:rPr>
        <w:t xml:space="preserve">Type D — Two-Zone Plenum: </w:t>
      </w:r>
      <w:r>
        <w:rPr>
          <w:rFonts w:ascii="Times New Roman" w:hAnsi="Times New Roman"/>
          <w:b w:val="0"/>
          <w:i w:val="0"/>
          <w:sz w:val="22"/>
        </w:rPr>
        <w:t>an annular divider ring splits the plenum into an inner zone (feeding central nozzles) and an outer zone (feeding peripheral nozzles), creating two separate gas paths with different residence times. CSG tree: Subtract(Subtract(Plenum_Cylinder, Divider_Ring), Nozzle_Union). Key parameter: divider_r_frac, the divider inner radius as a fraction of plate radius.</w:t>
      </w:r>
    </w:p>
    <w:p>
      <w:pPr>
        <w:spacing w:before="280" w:after="80"/>
      </w:pPr>
      <w:r>
        <w:rPr>
          <w:rFonts w:ascii="Times New Roman" w:hAnsi="Times New Roman"/>
          <w:b/>
          <w:i w:val="0"/>
          <w:color w:val="003366"/>
          <w:sz w:val="24"/>
        </w:rPr>
        <w:t>6.5 OpenFOAM CFD Integration</w:t>
      </w:r>
    </w:p>
    <w:p>
      <w:pPr>
        <w:spacing w:after="120"/>
        <w:jc w:val="both"/>
      </w:pPr>
      <w:r>
        <w:rPr>
          <w:rFonts w:ascii="Times New Roman" w:hAnsi="Times New Roman"/>
          <w:b w:val="0"/>
          <w:i w:val="0"/>
          <w:sz w:val="22"/>
        </w:rPr>
        <w:t>Track 2 CFD integration required solving a key technical challenge: standard snappyHexMesh (OpenFOAM's mesh generation tool) expects STL files representing solid wall surfaces, not fluid domain boundaries. Our VICES pipeline exports wall-only surface faces (excluding the inlet opening and nozzle exits) as separate STLs per region (vices_walls.stl for general walls, nozzle_walls.stl for nozzle bores, wafer_plane.stl for the wafer disk). The background blockMesh extends below the faceplate to include the standoff region, with locationInMesh placed in the standoff (below z=0, above the outlet) so that the blockMesh inlet/outlet/outerWalls patches survive snappyHexMesh cell removal. TMA fields are evaluated at the peak-TMA time step (end of the precursor pulse, t ≈ 0.10 s) rather than the final time (purge phase, TMA ≈ 0), using a custom --peak_tma postprocessing flag.</w:t>
      </w:r>
    </w:p>
    <w:p>
      <w:pPr>
        <w:spacing w:after="120"/>
        <w:jc w:val="both"/>
      </w:pPr>
      <w:r>
        <w:rPr>
          <w:rFonts w:ascii="Times New Roman" w:hAnsi="Times New Roman"/>
          <w:b w:val="0"/>
          <w:i w:val="0"/>
          <w:sz w:val="22"/>
        </w:rPr>
        <w:t>40 Track 2 cases were generated — 9 per topology type (3 diameters x 3 flow rates) plus 4 special cases with distinct type-specific parameters. TMA-UI across the 40 cases ranged from 0.00 to 0.86 (mean 0.41), with 28 of 40 cases showing non-zero uniformity, confirming physically meaningful TMA distribution variation across topology types.</w:t>
      </w:r>
    </w:p>
    <w:p>
      <w:pPr>
        <w:spacing w:before="280" w:after="80"/>
      </w:pPr>
      <w:r>
        <w:rPr>
          <w:rFonts w:ascii="Times New Roman" w:hAnsi="Times New Roman"/>
          <w:b/>
          <w:i w:val="0"/>
          <w:color w:val="003366"/>
          <w:sz w:val="28"/>
        </w:rPr>
        <w:t>7. Combined Surrogate and Multi-Objective Optimizer</w:t>
      </w:r>
    </w:p>
    <w:p>
      <w:pPr>
        <w:spacing w:before="280" w:after="80"/>
      </w:pPr>
      <w:r>
        <w:rPr>
          <w:rFonts w:ascii="Times New Roman" w:hAnsi="Times New Roman"/>
          <w:b/>
          <w:i w:val="0"/>
          <w:color w:val="003366"/>
          <w:sz w:val="24"/>
        </w:rPr>
        <w:t>7.1 Combined KPI Surrogate</w:t>
      </w:r>
    </w:p>
    <w:p>
      <w:pPr>
        <w:spacing w:after="120"/>
        <w:jc w:val="both"/>
      </w:pPr>
      <w:r>
        <w:rPr>
          <w:rFonts w:ascii="Times New Roman" w:hAnsi="Times New Roman"/>
          <w:b w:val="0"/>
          <w:i w:val="0"/>
          <w:sz w:val="22"/>
        </w:rPr>
        <w:t>To enable the Track 2 optimizer to predict TMA-UI for new designs without running CFD, we trained a combined KPI surrogate on all 120 cases (80 Track 1 + 40 Track 2). The feature vector comprises 12 elements:</w:t>
      </w:r>
    </w:p>
    <w:p>
      <w:pPr>
        <w:pStyle w:val="ListBullet"/>
        <w:spacing w:after="60"/>
        <w:jc w:val="both"/>
      </w:pPr>
      <w:r>
        <w:rPr>
          <w:rFonts w:ascii="Times New Roman" w:hAnsi="Times New Roman"/>
          <w:b/>
          <w:i w:val="0"/>
          <w:sz w:val="22"/>
        </w:rPr>
        <w:t xml:space="preserve">Design parameters [7]: </w:t>
      </w:r>
      <w:r>
        <w:rPr>
          <w:rFonts w:ascii="Times New Roman" w:hAnsi="Times New Roman"/>
          <w:b w:val="0"/>
          <w:i w:val="0"/>
          <w:sz w:val="22"/>
        </w:rPr>
        <w:t>nozzle diameter D [mm], flow rate Q [slm], number of nozzles n, plenum height H [mm], pitch/D ratio, Reynolds number Re, and a type-specific extra parameter (baffle_frac, cone_r_frac, n_rings, or divider_r_frac).</w:t>
      </w:r>
    </w:p>
    <w:p>
      <w:pPr>
        <w:pStyle w:val="ListBullet"/>
        <w:spacing w:after="60"/>
        <w:jc w:val="both"/>
      </w:pPr>
      <w:r>
        <w:rPr>
          <w:rFonts w:ascii="Times New Roman" w:hAnsi="Times New Roman"/>
          <w:b/>
          <w:i w:val="0"/>
          <w:sz w:val="22"/>
        </w:rPr>
        <w:t xml:space="preserve">Geometry type one-hot [5]: </w:t>
      </w:r>
      <w:r>
        <w:rPr>
          <w:rFonts w:ascii="Times New Roman" w:hAnsi="Times New Roman"/>
          <w:b w:val="0"/>
          <w:i w:val="0"/>
          <w:sz w:val="22"/>
        </w:rPr>
        <w:t>five-element binary vector indicating Track 1 hex-array (index 0) or one of four Track 2 types A/B/C/D (indices 1-4).</w:t>
      </w:r>
    </w:p>
    <w:p>
      <w:pPr>
        <w:spacing w:after="120"/>
        <w:jc w:val="both"/>
      </w:pPr>
      <w:r>
        <w:rPr>
          <w:rFonts w:ascii="Times New Roman" w:hAnsi="Times New Roman"/>
          <w:b w:val="0"/>
          <w:i w:val="0"/>
          <w:sz w:val="22"/>
        </w:rPr>
        <w:t>5-fold cross-validation on the combined dataset achieved:</w:t>
      </w:r>
    </w:p>
    <w:p>
      <w:pPr>
        <w:spacing w:before="80" w:after="80"/>
        <w:jc w:val="center"/>
      </w:pPr>
      <w:r>
        <w:rPr>
          <w:rFonts w:ascii="Courier New" w:hAnsi="Courier New"/>
          <w:b w:val="0"/>
          <w:i/>
          <w:sz w:val="20"/>
        </w:rPr>
        <w:t>OOF R^2 = 0.985    OOF Spearman rho = 0.947    (n = 120 cases)</w:t>
      </w:r>
    </w:p>
    <w:p>
      <w:pPr>
        <w:spacing w:before="280" w:after="80"/>
      </w:pPr>
      <w:r>
        <w:rPr>
          <w:rFonts w:ascii="Times New Roman" w:hAnsi="Times New Roman"/>
          <w:b/>
          <w:i w:val="0"/>
          <w:color w:val="003366"/>
          <w:sz w:val="24"/>
        </w:rPr>
        <w:t>7.2 Track 2 Optimizer Results</w:t>
      </w:r>
    </w:p>
    <w:p>
      <w:pPr>
        <w:spacing w:after="120"/>
        <w:jc w:val="both"/>
      </w:pPr>
      <w:r>
        <w:rPr>
          <w:rFonts w:ascii="Times New Roman" w:hAnsi="Times New Roman"/>
          <w:b w:val="0"/>
          <w:i w:val="0"/>
          <w:sz w:val="22"/>
        </w:rPr>
        <w:t>For each of the four Track 2 topology types, 300 random candidates were generated by sampling design parameters uniformly within their feasible ranges. The combined KPI surrogate predicted TMA-UI for all 1200 candidates. A Pareto front was constructed maximising TMA-UI and minimising Re (a proxy for pumping energy, since higher Re implies higher jet velocity and pressure drop). Results are shown in Figure 1 (right panel) and summarised in Table 1.</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b/>
                <w:sz w:val="18"/>
              </w:rPr>
              <w:t>Geometry Type</w:t>
            </w:r>
          </w:p>
        </w:tc>
        <w:tc>
          <w:tcPr>
            <w:tcW w:type="dxa" w:w="1881"/>
          </w:tcPr>
          <w:p>
            <w:r>
              <w:rPr>
                <w:b/>
                <w:sz w:val="18"/>
              </w:rPr>
              <w:t>Best TMA-UI</w:t>
            </w:r>
          </w:p>
        </w:tc>
        <w:tc>
          <w:tcPr>
            <w:tcW w:type="dxa" w:w="1881"/>
          </w:tcPr>
          <w:p>
            <w:r>
              <w:rPr>
                <w:b/>
                <w:sz w:val="18"/>
              </w:rPr>
              <w:t>D [mm]</w:t>
            </w:r>
          </w:p>
        </w:tc>
        <w:tc>
          <w:tcPr>
            <w:tcW w:type="dxa" w:w="1881"/>
          </w:tcPr>
          <w:p>
            <w:r>
              <w:rPr>
                <w:b/>
                <w:sz w:val="18"/>
              </w:rPr>
              <w:t>Q [slm]</w:t>
            </w:r>
          </w:p>
        </w:tc>
        <w:tc>
          <w:tcPr>
            <w:tcW w:type="dxa" w:w="1881"/>
          </w:tcPr>
          <w:p>
            <w:r>
              <w:rPr>
                <w:b/>
                <w:sz w:val="18"/>
              </w:rPr>
              <w:t>Re</w:t>
            </w:r>
          </w:p>
        </w:tc>
      </w:tr>
      <w:tr>
        <w:tc>
          <w:tcPr>
            <w:tcW w:type="dxa" w:w="1881"/>
          </w:tcPr>
          <w:p>
            <w:r>
              <w:rPr>
                <w:sz w:val="18"/>
              </w:rPr>
              <w:t>Track 1 — Hex array (baseline)</w:t>
            </w:r>
          </w:p>
        </w:tc>
        <w:tc>
          <w:tcPr>
            <w:tcW w:type="dxa" w:w="1881"/>
          </w:tcPr>
          <w:p>
            <w:r>
              <w:rPr>
                <w:sz w:val="18"/>
              </w:rPr>
              <w:t>0.344</w:t>
            </w:r>
          </w:p>
        </w:tc>
        <w:tc>
          <w:tcPr>
            <w:tcW w:type="dxa" w:w="1881"/>
          </w:tcPr>
          <w:p>
            <w:r>
              <w:rPr>
                <w:sz w:val="18"/>
              </w:rPr>
              <w:t>2.9</w:t>
            </w:r>
          </w:p>
        </w:tc>
        <w:tc>
          <w:tcPr>
            <w:tcW w:type="dxa" w:w="1881"/>
          </w:tcPr>
          <w:p>
            <w:r>
              <w:rPr>
                <w:sz w:val="18"/>
              </w:rPr>
              <w:t>0.6</w:t>
            </w:r>
          </w:p>
        </w:tc>
        <w:tc>
          <w:tcPr>
            <w:tcW w:type="dxa" w:w="1881"/>
          </w:tcPr>
          <w:p>
            <w:r>
              <w:rPr>
                <w:sz w:val="18"/>
              </w:rPr>
              <w:t>3</w:t>
            </w:r>
          </w:p>
        </w:tc>
      </w:tr>
      <w:tr>
        <w:tc>
          <w:tcPr>
            <w:tcW w:type="dxa" w:w="1881"/>
          </w:tcPr>
          <w:p>
            <w:r>
              <w:rPr>
                <w:sz w:val="18"/>
              </w:rPr>
              <w:t>Type A — Baffled plenum</w:t>
            </w:r>
          </w:p>
        </w:tc>
        <w:tc>
          <w:tcPr>
            <w:tcW w:type="dxa" w:w="1881"/>
          </w:tcPr>
          <w:p>
            <w:r>
              <w:rPr>
                <w:sz w:val="18"/>
              </w:rPr>
              <w:t>0.774</w:t>
            </w:r>
          </w:p>
        </w:tc>
        <w:tc>
          <w:tcPr>
            <w:tcW w:type="dxa" w:w="1881"/>
          </w:tcPr>
          <w:p>
            <w:r>
              <w:rPr>
                <w:sz w:val="18"/>
              </w:rPr>
              <w:t>2.5</w:t>
            </w:r>
          </w:p>
        </w:tc>
        <w:tc>
          <w:tcPr>
            <w:tcW w:type="dxa" w:w="1881"/>
          </w:tcPr>
          <w:p>
            <w:r>
              <w:rPr>
                <w:sz w:val="18"/>
              </w:rPr>
              <w:t>0.8</w:t>
            </w:r>
          </w:p>
        </w:tc>
        <w:tc>
          <w:tcPr>
            <w:tcW w:type="dxa" w:w="1881"/>
          </w:tcPr>
          <w:p>
            <w:r>
              <w:rPr>
                <w:sz w:val="18"/>
              </w:rPr>
              <w:t>3</w:t>
            </w:r>
          </w:p>
        </w:tc>
      </w:tr>
      <w:tr>
        <w:tc>
          <w:tcPr>
            <w:tcW w:type="dxa" w:w="1881"/>
          </w:tcPr>
          <w:p>
            <w:r>
              <w:rPr>
                <w:sz w:val="18"/>
              </w:rPr>
              <w:t>Type B — Conical diffuser</w:t>
            </w:r>
          </w:p>
        </w:tc>
        <w:tc>
          <w:tcPr>
            <w:tcW w:type="dxa" w:w="1881"/>
          </w:tcPr>
          <w:p>
            <w:r>
              <w:rPr>
                <w:sz w:val="18"/>
              </w:rPr>
              <w:t>0.739</w:t>
            </w:r>
          </w:p>
        </w:tc>
        <w:tc>
          <w:tcPr>
            <w:tcW w:type="dxa" w:w="1881"/>
          </w:tcPr>
          <w:p>
            <w:r>
              <w:rPr>
                <w:sz w:val="18"/>
              </w:rPr>
              <w:t>2.3</w:t>
            </w:r>
          </w:p>
        </w:tc>
        <w:tc>
          <w:tcPr>
            <w:tcW w:type="dxa" w:w="1881"/>
          </w:tcPr>
          <w:p>
            <w:r>
              <w:rPr>
                <w:sz w:val="18"/>
              </w:rPr>
              <w:t>0.6</w:t>
            </w:r>
          </w:p>
        </w:tc>
        <w:tc>
          <w:tcPr>
            <w:tcW w:type="dxa" w:w="1881"/>
          </w:tcPr>
          <w:p>
            <w:r>
              <w:rPr>
                <w:sz w:val="18"/>
              </w:rPr>
              <w:t>3</w:t>
            </w:r>
          </w:p>
        </w:tc>
      </w:tr>
      <w:tr>
        <w:tc>
          <w:tcPr>
            <w:tcW w:type="dxa" w:w="1881"/>
          </w:tcPr>
          <w:p>
            <w:r>
              <w:rPr>
                <w:sz w:val="18"/>
              </w:rPr>
              <w:t>Type C — Annular rings</w:t>
            </w:r>
          </w:p>
        </w:tc>
        <w:tc>
          <w:tcPr>
            <w:tcW w:type="dxa" w:w="1881"/>
          </w:tcPr>
          <w:p>
            <w:r>
              <w:rPr>
                <w:sz w:val="18"/>
              </w:rPr>
              <w:t>0.792</w:t>
            </w:r>
          </w:p>
        </w:tc>
        <w:tc>
          <w:tcPr>
            <w:tcW w:type="dxa" w:w="1881"/>
          </w:tcPr>
          <w:p>
            <w:r>
              <w:rPr>
                <w:sz w:val="18"/>
              </w:rPr>
              <w:t>2.4</w:t>
            </w:r>
          </w:p>
        </w:tc>
        <w:tc>
          <w:tcPr>
            <w:tcW w:type="dxa" w:w="1881"/>
          </w:tcPr>
          <w:p>
            <w:r>
              <w:rPr>
                <w:sz w:val="18"/>
              </w:rPr>
              <w:t>0.7</w:t>
            </w:r>
          </w:p>
        </w:tc>
        <w:tc>
          <w:tcPr>
            <w:tcW w:type="dxa" w:w="1881"/>
          </w:tcPr>
          <w:p>
            <w:r>
              <w:rPr>
                <w:sz w:val="18"/>
              </w:rPr>
              <w:t>4</w:t>
            </w:r>
          </w:p>
        </w:tc>
      </w:tr>
      <w:tr>
        <w:tc>
          <w:tcPr>
            <w:tcW w:type="dxa" w:w="1881"/>
          </w:tcPr>
          <w:p>
            <w:r>
              <w:rPr>
                <w:sz w:val="18"/>
              </w:rPr>
              <w:t>Type D — Two-zone plenum</w:t>
            </w:r>
          </w:p>
        </w:tc>
        <w:tc>
          <w:tcPr>
            <w:tcW w:type="dxa" w:w="1881"/>
          </w:tcPr>
          <w:p>
            <w:r>
              <w:rPr>
                <w:sz w:val="18"/>
              </w:rPr>
              <w:t>0.754</w:t>
            </w:r>
          </w:p>
        </w:tc>
        <w:tc>
          <w:tcPr>
            <w:tcW w:type="dxa" w:w="1881"/>
          </w:tcPr>
          <w:p>
            <w:r>
              <w:rPr>
                <w:sz w:val="18"/>
              </w:rPr>
              <w:t>2.8</w:t>
            </w:r>
          </w:p>
        </w:tc>
        <w:tc>
          <w:tcPr>
            <w:tcW w:type="dxa" w:w="1881"/>
          </w:tcPr>
          <w:p>
            <w:r>
              <w:rPr>
                <w:sz w:val="18"/>
              </w:rPr>
              <w:t>1.0</w:t>
            </w:r>
          </w:p>
        </w:tc>
        <w:tc>
          <w:tcPr>
            <w:tcW w:type="dxa" w:w="1881"/>
          </w:tcPr>
          <w:p>
            <w:r>
              <w:rPr>
                <w:sz w:val="18"/>
              </w:rPr>
              <w:t>6</w:t>
            </w:r>
          </w:p>
        </w:tc>
      </w:tr>
    </w:tbl>
    <w:p>
      <w:pPr>
        <w:spacing w:before="80"/>
        <w:jc w:val="center"/>
      </w:pPr>
      <w:r>
        <w:rPr>
          <w:rFonts w:ascii="Times New Roman" w:hAnsi="Times New Roman"/>
          <w:b w:val="0"/>
          <w:i/>
          <w:sz w:val="18"/>
        </w:rPr>
        <w:t>Table 1 — Best TMA Uniformity Index (TMA-UI) per geometry type from Track 2 topology optimizer. All Track 2 types substantially outperform the Track 1 baseline.</w:t>
      </w:r>
    </w:p>
    <w:p>
      <w:pPr>
        <w:spacing w:after="40"/>
      </w:pPr>
    </w:p>
    <w:p>
      <w:pPr>
        <w:spacing w:after="120"/>
        <w:jc w:val="both"/>
      </w:pPr>
      <w:r>
        <w:rPr>
          <w:rFonts w:ascii="Times New Roman" w:hAnsi="Times New Roman"/>
          <w:b w:val="0"/>
          <w:i w:val="0"/>
          <w:sz w:val="22"/>
        </w:rPr>
        <w:t>The annular-ring geometry (Type C) achieves the highest TMA-UI of 0.792, representing a +0.448 improvement (+130%) over the Track 1 baseline of 0.344. This result demonstrates that fixing the nozzle topology — as Track 1 must by definition — prevents discovery of the highest-performing designs. The physical explanation is intuitive: concentric ring nozzles create a more radially symmetric flow pattern than hex packing, reducing azimuthal TMA concentration variations that arise from the hexagonal symmetry mismatch between nozzle array and circular wafer.</w:t>
      </w:r>
    </w:p>
    <w:p>
      <w:pPr>
        <w:spacing w:before="280" w:after="80"/>
      </w:pPr>
      <w:r>
        <w:rPr>
          <w:rFonts w:ascii="Times New Roman" w:hAnsi="Times New Roman"/>
          <w:b/>
          <w:i w:val="0"/>
          <w:color w:val="003366"/>
          <w:sz w:val="28"/>
        </w:rPr>
        <w:t>8. Industry Use Cases</w:t>
      </w:r>
    </w:p>
    <w:p>
      <w:pPr>
        <w:spacing w:after="120"/>
        <w:jc w:val="both"/>
      </w:pPr>
      <w:r>
        <w:rPr>
          <w:rFonts w:ascii="Times New Roman" w:hAnsi="Times New Roman"/>
          <w:b w:val="0"/>
          <w:i w:val="0"/>
          <w:sz w:val="22"/>
        </w:rPr>
        <w:t>The framework addresses a broad class of ALD and CVD (Chemical Vapour Deposition) reactor design challenges across the semiconductor and energy storage industries:</w:t>
      </w:r>
    </w:p>
    <w:p>
      <w:pPr>
        <w:pStyle w:val="ListBullet"/>
        <w:spacing w:after="60"/>
        <w:jc w:val="both"/>
      </w:pPr>
      <w:r>
        <w:rPr>
          <w:rFonts w:ascii="Times New Roman" w:hAnsi="Times New Roman"/>
          <w:b/>
          <w:i w:val="0"/>
          <w:sz w:val="22"/>
        </w:rPr>
        <w:t xml:space="preserve">Advanced Logic (3 nm and below): </w:t>
      </w:r>
      <w:r>
        <w:rPr>
          <w:rFonts w:ascii="Times New Roman" w:hAnsi="Times New Roman"/>
          <w:b w:val="0"/>
          <w:i w:val="0"/>
          <w:sz w:val="22"/>
        </w:rPr>
        <w:t>at sub-5 nm nodes, film thickness variation must be controlled to ± 0.1 nm across 300 mm wafers. The framework optimises showerhead geometry to minimise TMA-UI non-uniformity, directly targeting this requirement.</w:t>
      </w:r>
    </w:p>
    <w:p>
      <w:pPr>
        <w:pStyle w:val="ListBullet"/>
        <w:spacing w:after="60"/>
        <w:jc w:val="both"/>
      </w:pPr>
      <w:r>
        <w:rPr>
          <w:rFonts w:ascii="Times New Roman" w:hAnsi="Times New Roman"/>
          <w:b/>
          <w:i w:val="0"/>
          <w:sz w:val="22"/>
        </w:rPr>
        <w:t xml:space="preserve">High-Bandwidth Memory (HBM) stacking: </w:t>
      </w:r>
      <w:r>
        <w:rPr>
          <w:rFonts w:ascii="Times New Roman" w:hAnsi="Times New Roman"/>
          <w:b w:val="0"/>
          <w:i w:val="0"/>
          <w:sz w:val="22"/>
        </w:rPr>
        <w:t>through-silicon vias (TSVs) in 3D-stacked memory require conformal ALD barrier films inside high-aspect-ratio features. Optimised precursor delivery (high TMA uniformity + appropriate Da) ensures conformal coverage.</w:t>
      </w:r>
    </w:p>
    <w:p>
      <w:pPr>
        <w:pStyle w:val="ListBullet"/>
        <w:spacing w:after="60"/>
        <w:jc w:val="both"/>
      </w:pPr>
      <w:r>
        <w:rPr>
          <w:rFonts w:ascii="Times New Roman" w:hAnsi="Times New Roman"/>
          <w:b/>
          <w:i w:val="0"/>
          <w:sz w:val="22"/>
        </w:rPr>
        <w:t xml:space="preserve">Solid-State Battery Electrolytes: </w:t>
      </w:r>
      <w:r>
        <w:rPr>
          <w:rFonts w:ascii="Times New Roman" w:hAnsi="Times New Roman"/>
          <w:b w:val="0"/>
          <w:i w:val="0"/>
          <w:sz w:val="22"/>
        </w:rPr>
        <w:t>ALD-deposited lithium ion conducting films (e.g., LiPON) for solid-state batteries require uniformity across large-area substrates. Track 2 baffled and two-zone designs address large-area uniformity challenges.</w:t>
      </w:r>
    </w:p>
    <w:p>
      <w:pPr>
        <w:pStyle w:val="ListBullet"/>
        <w:spacing w:after="60"/>
        <w:jc w:val="both"/>
      </w:pPr>
      <w:r>
        <w:rPr>
          <w:rFonts w:ascii="Times New Roman" w:hAnsi="Times New Roman"/>
          <w:b/>
          <w:i w:val="0"/>
          <w:sz w:val="22"/>
        </w:rPr>
        <w:t xml:space="preserve">Photovoltaics and Flexible Electronics: </w:t>
      </w:r>
      <w:r>
        <w:rPr>
          <w:rFonts w:ascii="Times New Roman" w:hAnsi="Times New Roman"/>
          <w:b w:val="0"/>
          <w:i w:val="0"/>
          <w:sz w:val="22"/>
        </w:rPr>
        <w:t>roll-to-roll ALD for flexible devices requires spatially uniform deposition across moving substrates. The framework's optimizer can be adapted to linear showerhead geometries for this application.</w:t>
      </w:r>
    </w:p>
    <w:p>
      <w:pPr>
        <w:pStyle w:val="ListBullet"/>
        <w:spacing w:after="60"/>
        <w:jc w:val="both"/>
      </w:pPr>
      <w:r>
        <w:rPr>
          <w:rFonts w:ascii="Times New Roman" w:hAnsi="Times New Roman"/>
          <w:b/>
          <w:i w:val="0"/>
          <w:sz w:val="22"/>
        </w:rPr>
        <w:t xml:space="preserve">Catalyst Synthesis: </w:t>
      </w:r>
      <w:r>
        <w:rPr>
          <w:rFonts w:ascii="Times New Roman" w:hAnsi="Times New Roman"/>
          <w:b w:val="0"/>
          <w:i w:val="0"/>
          <w:sz w:val="22"/>
        </w:rPr>
        <w:t>ALD is used to deposit precisely controlled catalyst films on porous support materials. Optimal precursor distribution directly controls catalyst loading uniformity and selectivity.</w:t>
      </w:r>
    </w:p>
    <w:p>
      <w:pPr>
        <w:spacing w:before="280" w:after="80"/>
      </w:pPr>
      <w:r>
        <w:rPr>
          <w:rFonts w:ascii="Times New Roman" w:hAnsi="Times New Roman"/>
          <w:b/>
          <w:i w:val="0"/>
          <w:color w:val="003366"/>
          <w:sz w:val="28"/>
        </w:rPr>
        <w:t>9. Limitations and Future Work</w:t>
      </w:r>
    </w:p>
    <w:p>
      <w:pPr>
        <w:pStyle w:val="ListBullet"/>
        <w:spacing w:after="60"/>
        <w:jc w:val="both"/>
      </w:pPr>
      <w:r>
        <w:rPr>
          <w:rFonts w:ascii="Times New Roman" w:hAnsi="Times New Roman"/>
          <w:b/>
          <w:i w:val="0"/>
          <w:sz w:val="22"/>
        </w:rPr>
        <w:t xml:space="preserve">TMA spatial field prediction: </w:t>
      </w:r>
      <w:r>
        <w:rPr>
          <w:rFonts w:ascii="Times New Roman" w:hAnsi="Times New Roman"/>
          <w:b w:val="0"/>
          <w:i w:val="0"/>
          <w:sz w:val="22"/>
        </w:rPr>
        <w:t>the GNN surrogate correctly predicts pressure and temperature fields (relative MAE &lt; 1%) but cannot resolve TMA spatial gradients, which exist in a sub-millimetre boundary layer at the wafer surface not resolved by the current mesh (cell size ~ 1 mm). Wafer-plane mesh refinement (target cell size ~ 0.1 mm) would enable full-field TMA prediction at the cost of ~ 5x longer simulations.</w:t>
      </w:r>
    </w:p>
    <w:p>
      <w:pPr>
        <w:pStyle w:val="ListBullet"/>
        <w:spacing w:after="60"/>
        <w:jc w:val="both"/>
      </w:pPr>
      <w:r>
        <w:rPr>
          <w:rFonts w:ascii="Times New Roman" w:hAnsi="Times New Roman"/>
          <w:b/>
          <w:i w:val="0"/>
          <w:sz w:val="22"/>
        </w:rPr>
        <w:t xml:space="preserve">Dataset scale: </w:t>
      </w:r>
      <w:r>
        <w:rPr>
          <w:rFonts w:ascii="Times New Roman" w:hAnsi="Times New Roman"/>
          <w:b w:val="0"/>
          <w:i w:val="0"/>
          <w:sz w:val="22"/>
        </w:rPr>
        <w:t>83 Track 1 + 40 Track 2 = 123 cases is sufficient for a framework demonstration; production deployment would benefit from 500+ cases per track. The OpenFOAM pipeline is fully automated and scales linearly with compute resources.</w:t>
      </w:r>
    </w:p>
    <w:p>
      <w:pPr>
        <w:pStyle w:val="ListBullet"/>
        <w:spacing w:after="60"/>
        <w:jc w:val="both"/>
      </w:pPr>
      <w:r>
        <w:rPr>
          <w:rFonts w:ascii="Times New Roman" w:hAnsi="Times New Roman"/>
          <w:b/>
          <w:i w:val="0"/>
          <w:sz w:val="22"/>
        </w:rPr>
        <w:t xml:space="preserve">Topology search algorithm: </w:t>
      </w:r>
      <w:r>
        <w:rPr>
          <w:rFonts w:ascii="Times New Roman" w:hAnsi="Times New Roman"/>
          <w:b w:val="0"/>
          <w:i w:val="0"/>
          <w:sz w:val="22"/>
        </w:rPr>
        <w:t>the current Track 2 optimizer uses random search over 1200 candidates. A genetic algorithm that explicitly mutates CSG tree topologies (guided by the Catalan number characterisation) would provide more principled exploration of the full topology space.</w:t>
      </w:r>
    </w:p>
    <w:p>
      <w:pPr>
        <w:pStyle w:val="ListBullet"/>
        <w:spacing w:after="60"/>
        <w:jc w:val="both"/>
      </w:pPr>
      <w:r>
        <w:rPr>
          <w:rFonts w:ascii="Times New Roman" w:hAnsi="Times New Roman"/>
          <w:b/>
          <w:i w:val="0"/>
          <w:sz w:val="22"/>
        </w:rPr>
        <w:t xml:space="preserve">Pretraining on public datasets: </w:t>
      </w:r>
      <w:r>
        <w:rPr>
          <w:rFonts w:ascii="Times New Roman" w:hAnsi="Times New Roman"/>
          <w:b w:val="0"/>
          <w:i w:val="0"/>
          <w:sz w:val="22"/>
        </w:rPr>
        <w:t>the surrogate was trained solely on self-generated ALD cases. Pretraining on AirfRANS [14] and CFDBench [15] public datasets, followed by domain adaptation on jet-impingement data [16] and ALD finetuning, is expected to substantially improve generalisation.</w:t>
      </w:r>
    </w:p>
    <w:p>
      <w:pPr>
        <w:pStyle w:val="ListBullet"/>
        <w:spacing w:after="60"/>
        <w:jc w:val="both"/>
      </w:pPr>
      <w:r>
        <w:rPr>
          <w:rFonts w:ascii="Times New Roman" w:hAnsi="Times New Roman"/>
          <w:b/>
          <w:i w:val="0"/>
          <w:sz w:val="22"/>
        </w:rPr>
        <w:t xml:space="preserve">PicoGK integration: </w:t>
      </w:r>
      <w:r>
        <w:rPr>
          <w:rFonts w:ascii="Times New Roman" w:hAnsi="Times New Roman"/>
          <w:b w:val="0"/>
          <w:i w:val="0"/>
          <w:sz w:val="22"/>
        </w:rPr>
        <w:t>future work will integrate the open-source PicoGK C# geometry kernel [10] via Python bindings to access its production-grade SDF/CSG implementation and boolean operation library.</w:t>
      </w:r>
    </w:p>
    <w:p>
      <w:pPr>
        <w:spacing w:before="280" w:after="80"/>
      </w:pPr>
      <w:r>
        <w:rPr>
          <w:rFonts w:ascii="Times New Roman" w:hAnsi="Times New Roman"/>
          <w:b/>
          <w:i w:val="0"/>
          <w:color w:val="003366"/>
          <w:sz w:val="28"/>
        </w:rPr>
        <w:t>10. Conclusion</w:t>
      </w:r>
    </w:p>
    <w:p>
      <w:pPr>
        <w:spacing w:after="120"/>
        <w:jc w:val="both"/>
      </w:pPr>
      <w:r>
        <w:rPr>
          <w:rFonts w:ascii="Times New Roman" w:hAnsi="Times New Roman"/>
          <w:b w:val="0"/>
          <w:i w:val="0"/>
          <w:sz w:val="22"/>
        </w:rPr>
        <w:t>We have presented a physics-guardrailed, dual-track surrogate framework for ALD showerhead geometry optimisation. The framework's two geometry tracks — PCGM for parametric search and VICES for topology-level search — share a common physics calculator, GNN surrogate, guardrail engine, and optimizer, differing only in how geometries are created. This design enables a direct, controlled comparison between parametric and topological optimisation on the same physical problem.</w:t>
      </w:r>
    </w:p>
    <w:p>
      <w:pPr>
        <w:spacing w:after="120"/>
        <w:jc w:val="both"/>
      </w:pPr>
      <w:r>
        <w:rPr>
          <w:rFonts w:ascii="Times New Roman" w:hAnsi="Times New Roman"/>
          <w:b w:val="0"/>
          <w:i w:val="0"/>
          <w:sz w:val="22"/>
        </w:rPr>
        <w:t>The key quantitative finding is that topology search (Track 2) achieves TMA-UI = 0.792, a +0.448 improvement (+130%) over the best parametric design (Track 1, TMA-UI = 0.344). The annular-ring nozzle pattern, which cannot be represented within Track 1's parametric design space, emerges as the top-performing topology. This result has a direct practical implication: ALD showerhead design tools that are limited to parametric geometry variation leave significant performance on the table. Topology-level search, enabled by the CSG/SDF/Marching Cubes pipeline introduced in this work, is a necessary complement to parametric optimisation.</w:t>
      </w:r>
    </w:p>
    <w:p>
      <w:pPr>
        <w:spacing w:after="120"/>
        <w:jc w:val="both"/>
      </w:pPr>
      <w:r>
        <w:rPr>
          <w:rFonts w:ascii="Times New Roman" w:hAnsi="Times New Roman"/>
          <w:b w:val="0"/>
          <w:i w:val="0"/>
          <w:sz w:val="22"/>
        </w:rPr>
        <w:t>The physics guardrail engine — enforcing eleven dimensionless constraints across momentum, heat, and mass transfer — ensures that all optimizer recommendations are physically valid and within the surrogate's training distribution. This makes the framework directly deployable in an industrial ALD tool design workflow, where recommending an infeasible design can cost weeks of engineering time.</w:t>
      </w:r>
    </w:p>
    <w:p>
      <w:pPr>
        <w:spacing w:after="120"/>
        <w:jc w:val="both"/>
      </w:pPr>
      <w:r>
        <w:rPr>
          <w:rFonts w:ascii="Times New Roman" w:hAnsi="Times New Roman"/>
          <w:b w:val="0"/>
          <w:i w:val="0"/>
          <w:sz w:val="22"/>
        </w:rPr>
        <w:t>All code, training notebooks, and OpenFOAM case generators are available at https://github.com/Ranaam21/cfd-ald-app.</w:t>
      </w:r>
    </w:p>
    <w:p>
      <w:pPr>
        <w:spacing w:before="280" w:after="80"/>
      </w:pPr>
      <w:r>
        <w:rPr>
          <w:rFonts w:ascii="Times New Roman" w:hAnsi="Times New Roman"/>
          <w:b/>
          <w:i w:val="0"/>
          <w:color w:val="003366"/>
          <w:sz w:val="28"/>
        </w:rPr>
        <w:t>References</w:t>
      </w:r>
    </w:p>
    <w:p>
      <w:pPr>
        <w:pStyle w:val="ListNumber"/>
        <w:spacing w:after="60"/>
        <w:ind w:left="283"/>
      </w:pPr>
      <w:r>
        <w:rPr>
          <w:rFonts w:ascii="Times New Roman" w:hAnsi="Times New Roman"/>
          <w:b w:val="0"/>
          <w:i w:val="0"/>
          <w:sz w:val="18"/>
        </w:rPr>
        <w:t>[1] Granneman, E. et al. (2007). Batch ALD: characteristics, comparison with single wafer ALD, and examples. Surface and Coatings Technology, 201(22-23), 8899-8907.</w:t>
      </w:r>
    </w:p>
    <w:p>
      <w:pPr>
        <w:pStyle w:val="ListNumber"/>
        <w:spacing w:after="60"/>
        <w:ind w:left="283"/>
      </w:pPr>
      <w:r>
        <w:rPr>
          <w:rFonts w:ascii="Times New Roman" w:hAnsi="Times New Roman"/>
          <w:b w:val="0"/>
          <w:i w:val="0"/>
          <w:sz w:val="18"/>
        </w:rPr>
        <w:t>[2] Cremers, V. et al. (2019). Conformality in atomic layer deposition: current status overview of analysis and modelling. Applied Physics Reviews, 6(2), 021302.</w:t>
      </w:r>
    </w:p>
    <w:p>
      <w:pPr>
        <w:pStyle w:val="ListNumber"/>
        <w:spacing w:after="60"/>
        <w:ind w:left="283"/>
      </w:pPr>
      <w:r>
        <w:rPr>
          <w:rFonts w:ascii="Times New Roman" w:hAnsi="Times New Roman"/>
          <w:b w:val="0"/>
          <w:i w:val="0"/>
          <w:sz w:val="18"/>
        </w:rPr>
        <w:t>[3] Pan, D. et al. (2015). Multiscale modeling of ALD of Al2O3. Journal of Vacuum Science &amp; Technology A, 33(2), 021512.</w:t>
      </w:r>
    </w:p>
    <w:p>
      <w:pPr>
        <w:pStyle w:val="ListNumber"/>
        <w:spacing w:after="60"/>
        <w:ind w:left="283"/>
      </w:pPr>
      <w:r>
        <w:rPr>
          <w:rFonts w:ascii="Times New Roman" w:hAnsi="Times New Roman"/>
          <w:b w:val="0"/>
          <w:i w:val="0"/>
          <w:sz w:val="18"/>
        </w:rPr>
        <w:t>[4] aldFoam — Argonne National Laboratory ALD/ALE reactive transport solver (OpenFOAM-based). Available at: https://github.com/argonne-lcf/aldfoam</w:t>
      </w:r>
    </w:p>
    <w:p>
      <w:pPr>
        <w:pStyle w:val="ListNumber"/>
        <w:spacing w:after="60"/>
        <w:ind w:left="283"/>
      </w:pPr>
      <w:r>
        <w:rPr>
          <w:rFonts w:ascii="Times New Roman" w:hAnsi="Times New Roman"/>
          <w:b w:val="0"/>
          <w:i w:val="0"/>
          <w:sz w:val="18"/>
        </w:rPr>
        <w:t>[5] OpenFOAM Foundation. OpenFOAM v2512. Available at: https://openfoam.org</w:t>
      </w:r>
    </w:p>
    <w:p>
      <w:pPr>
        <w:pStyle w:val="ListNumber"/>
        <w:spacing w:after="60"/>
        <w:ind w:left="283"/>
      </w:pPr>
      <w:r>
        <w:rPr>
          <w:rFonts w:ascii="Times New Roman" w:hAnsi="Times New Roman"/>
          <w:b w:val="0"/>
          <w:i w:val="0"/>
          <w:sz w:val="18"/>
        </w:rPr>
        <w:t>[6] Pfaff, T. et al. (2021). Learning Mesh-Based Simulation with Graph Networks. International Conference on Learning Representations (ICLR 2021).</w:t>
      </w:r>
    </w:p>
    <w:p>
      <w:pPr>
        <w:pStyle w:val="ListNumber"/>
        <w:spacing w:after="60"/>
        <w:ind w:left="283"/>
      </w:pPr>
      <w:r>
        <w:rPr>
          <w:rFonts w:ascii="Times New Roman" w:hAnsi="Times New Roman"/>
          <w:b w:val="0"/>
          <w:i w:val="0"/>
          <w:sz w:val="18"/>
        </w:rPr>
        <w:t>[7] Li, Z. et al. (2020). Fourier Neural Operator for Parametric Partial Differential Equations. arXiv:2010.08895.</w:t>
      </w:r>
    </w:p>
    <w:p>
      <w:pPr>
        <w:pStyle w:val="ListNumber"/>
        <w:spacing w:after="60"/>
        <w:ind w:left="283"/>
      </w:pPr>
      <w:r>
        <w:rPr>
          <w:rFonts w:ascii="Times New Roman" w:hAnsi="Times New Roman"/>
          <w:b w:val="0"/>
          <w:i w:val="0"/>
          <w:sz w:val="18"/>
        </w:rPr>
        <w:t>[8] NVIDIA PhysicsNeMo. Physics-informed ML framework. Available at: https://github.com/NVIDIA/physicsnemo</w:t>
      </w:r>
    </w:p>
    <w:p>
      <w:pPr>
        <w:pStyle w:val="ListNumber"/>
        <w:spacing w:after="60"/>
        <w:ind w:left="283"/>
      </w:pPr>
      <w:r>
        <w:rPr>
          <w:rFonts w:ascii="Times New Roman" w:hAnsi="Times New Roman"/>
          <w:b w:val="0"/>
          <w:i w:val="0"/>
          <w:sz w:val="18"/>
        </w:rPr>
        <w:t>[9] Fey, M. &amp; Lenssen, J.E. (2019). Fast Graph Representation Learning with PyTorch Geometric. ICLR Workshop on Representation Learning on Graphs and Manifolds.</w:t>
      </w:r>
    </w:p>
    <w:p>
      <w:pPr>
        <w:pStyle w:val="ListNumber"/>
        <w:spacing w:after="60"/>
        <w:ind w:left="283"/>
      </w:pPr>
      <w:r>
        <w:rPr>
          <w:rFonts w:ascii="Times New Roman" w:hAnsi="Times New Roman"/>
          <w:b w:val="0"/>
          <w:i w:val="0"/>
          <w:sz w:val="18"/>
        </w:rPr>
        <w:t>[10] PicoGK — LEAP71 open-source geometry kernel. Available at: https://github.com/leap71/PicoGK</w:t>
      </w:r>
    </w:p>
    <w:p>
      <w:pPr>
        <w:pStyle w:val="ListNumber"/>
        <w:spacing w:after="60"/>
        <w:ind w:left="283"/>
      </w:pPr>
      <w:r>
        <w:rPr>
          <w:rFonts w:ascii="Times New Roman" w:hAnsi="Times New Roman"/>
          <w:b w:val="0"/>
          <w:i w:val="0"/>
          <w:sz w:val="18"/>
        </w:rPr>
        <w:t>[11] LEAP71. Noyron computational engineering system. Available at: https://leap71.com/noyron</w:t>
      </w:r>
    </w:p>
    <w:p>
      <w:pPr>
        <w:pStyle w:val="ListNumber"/>
        <w:spacing w:after="60"/>
        <w:ind w:left="283"/>
      </w:pPr>
      <w:r>
        <w:rPr>
          <w:rFonts w:ascii="Times New Roman" w:hAnsi="Times New Roman"/>
          <w:b w:val="0"/>
          <w:i w:val="0"/>
          <w:sz w:val="18"/>
        </w:rPr>
        <w:t>[12] Lorensen, W.E. &amp; Cline, H.E. (1987). Marching cubes: A high resolution 3D surface construction algorithm. ACM SIGGRAPH Computer Graphics, 21(4), 163-169.</w:t>
      </w:r>
    </w:p>
    <w:p>
      <w:pPr>
        <w:pStyle w:val="ListNumber"/>
        <w:spacing w:after="60"/>
        <w:ind w:left="283"/>
      </w:pPr>
      <w:r>
        <w:rPr>
          <w:rFonts w:ascii="Times New Roman" w:hAnsi="Times New Roman"/>
          <w:b w:val="0"/>
          <w:i w:val="0"/>
          <w:sz w:val="18"/>
        </w:rPr>
        <w:t>[13] PyMCubes. Marching Cubes implementation for Python. Available at: https://github.com/pmneila/PyMCubes</w:t>
      </w:r>
    </w:p>
    <w:p>
      <w:pPr>
        <w:pStyle w:val="ListNumber"/>
        <w:spacing w:after="60"/>
        <w:ind w:left="283"/>
      </w:pPr>
      <w:r>
        <w:rPr>
          <w:rFonts w:ascii="Times New Roman" w:hAnsi="Times New Roman"/>
          <w:b w:val="0"/>
          <w:i w:val="0"/>
          <w:sz w:val="18"/>
        </w:rPr>
        <w:t>[14] Bonnet, F. et al. (2022). AirfRANS: High Fidelity Computational Fluid Dynamics Dataset for Approximating Reynolds-Averaged Navier-Stokes Solutions. NeurIPS 2022 Datasets and Benchmarks Track.</w:t>
      </w:r>
    </w:p>
    <w:p>
      <w:pPr>
        <w:pStyle w:val="ListNumber"/>
        <w:spacing w:after="60"/>
        <w:ind w:left="283"/>
      </w:pPr>
      <w:r>
        <w:rPr>
          <w:rFonts w:ascii="Times New Roman" w:hAnsi="Times New Roman"/>
          <w:b w:val="0"/>
          <w:i w:val="0"/>
          <w:sz w:val="18"/>
        </w:rPr>
        <w:t>[15] Luo, S. et al. (2023). CFDBench: A Large-Scale Benchmark for Machine Learning Methods in Fluid Dynamics. arXiv:2310.05963.</w:t>
      </w:r>
    </w:p>
    <w:p>
      <w:pPr>
        <w:pStyle w:val="ListNumber"/>
        <w:spacing w:after="60"/>
        <w:ind w:left="283"/>
      </w:pPr>
      <w:r>
        <w:rPr>
          <w:rFonts w:ascii="Times New Roman" w:hAnsi="Times New Roman"/>
          <w:b w:val="0"/>
          <w:i w:val="0"/>
          <w:sz w:val="18"/>
        </w:rPr>
        <w:t>[16] Zuckerman, N. &amp; Lior, N. (2006). Jet impingement heat transfer: Physics, correlations, and numerical modeling. Advances in Heat Transfer, 39, 565-631.</w:t>
      </w:r>
    </w:p>
    <w:p>
      <w:pPr>
        <w:pStyle w:val="ListNumber"/>
        <w:spacing w:after="60"/>
        <w:ind w:left="283"/>
      </w:pPr>
      <w:r>
        <w:rPr>
          <w:rFonts w:ascii="Times New Roman" w:hAnsi="Times New Roman"/>
          <w:b w:val="0"/>
          <w:i w:val="0"/>
          <w:sz w:val="18"/>
        </w:rPr>
        <w:t>[17] Sherwood number dataset, Mendeley Data. Available at: https://data.mendeley.com</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