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Georgia" w:cs="Georgia" w:eastAsia="Georgia" w:hAnsi="Georgia"/>
          <w:b/>
          <w:bCs/>
          <w:color w:val="111111"/>
          <w:sz w:val="44"/>
          <w:szCs w:val="44"/>
        </w:rPr>
        <w:t xml:space="preserve">Days 3–4: The Ten-Minute Reset</w:t>
      </w:r>
    </w:p>
    <w:p>
      <w:pPr>
        <w:pBdr>
          <w:bottom w:val="single" w:color="CCCCCC" w:sz="4" w:space="1"/>
        </w:pBdr>
        <w:spacing w:after="280" w:before="280"/>
      </w:pPr>
    </w:p>
    <w:p>
      <w:pPr>
        <w:spacing w:after="200" w:before="200" w:line="340"/>
      </w:pPr>
      <w:r>
        <w:rPr>
          <w:rFonts w:ascii="Georgia" w:cs="Georgia" w:eastAsia="Georgia" w:hAnsi="Georgia"/>
          <w:i/>
          <w:iCs/>
          <w:sz w:val="26"/>
          <w:szCs w:val="26"/>
        </w:rPr>
        <w:t xml:space="preserve">Most people do not fail because they are lazy. They fail because they argue with themselves for too long.</w:t>
      </w:r>
    </w:p>
    <w:p>
      <w:pPr>
        <w:spacing w:after="160" w:before="160" w:line="320"/>
      </w:pPr>
      <w:r>
        <w:rPr>
          <w:rFonts w:ascii="Georgia" w:cs="Georgia" w:eastAsia="Georgia" w:hAnsi="Georgia"/>
          <w:sz w:val="24"/>
          <w:szCs w:val="24"/>
        </w:rPr>
        <w:t xml:space="preserve">There is a specific kind of stuck that is different from simple laziness or lack of discipline. The person who is lazily avoiding something is, in some sense, relaxed about it. They have made a quiet peace with not doing the thing. But that is not the kind of stuck most capable people experience. The kind of stuck that shows up here — in high-achieving students, in ambitious professionals, in people who genuinely care about their work — is a state of active internal conflict. You know the task matters. You know you should start. Your body is tense with the awareness of not starting. And yet you cannot bridge the gap between knowing and doing.</w:t>
      </w:r>
    </w:p>
    <w:p>
      <w:pPr>
        <w:spacing w:after="160" w:before="160" w:line="320"/>
      </w:pPr>
      <w:r>
        <w:rPr>
          <w:rFonts w:ascii="Georgia" w:cs="Georgia" w:eastAsia="Georgia" w:hAnsi="Georgia"/>
          <w:sz w:val="24"/>
          <w:szCs w:val="24"/>
        </w:rPr>
        <w:t xml:space="preserve">Days 1 and 2 introduced you to the mechanism: overthinking is avoidance in disguise, and the Action-Not-Thought Loop is how you interrupt it. Days 3 and 4 build on that foundation with a specific tool called the Ten-Minute Momentum Switch. It is not a lifestyle overhaul. It is not a new productivity identity you need to maintain. It is a targeted intervention for the moment when your brain is arguing with you — a way of cutting the argument short by introducing the one thing that actually changes the situation: motion.</w:t>
      </w:r>
    </w:p>
    <w:p>
      <w:pPr>
        <w:spacing w:after="160" w:before="160" w:line="320"/>
      </w:pPr>
      <w:r>
        <w:rPr>
          <w:rFonts w:ascii="Georgia" w:cs="Georgia" w:eastAsia="Georgia" w:hAnsi="Georgia"/>
          <w:sz w:val="24"/>
          <w:szCs w:val="24"/>
        </w:rPr>
        <w:t xml:space="preserve">The goal of the Ten-Minute Momentum Switch is not to finish. It is not to do good work. It is to prove to your nervous system, through direct physical experience, that you can move even when you do not feel ready. That proof, repeated across Days 3 and 4, builds something more durable than motivation. It builds a conditioned response: a habit of starting.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Why the Gap Between Knowing and Doing Exists</w:t>
      </w:r>
    </w:p>
    <w:p>
      <w:pPr>
        <w:spacing w:after="160" w:before="160" w:line="320"/>
      </w:pPr>
      <w:r>
        <w:rPr>
          <w:rFonts w:ascii="Georgia" w:cs="Georgia" w:eastAsia="Georgia" w:hAnsi="Georgia"/>
          <w:sz w:val="24"/>
          <w:szCs w:val="24"/>
        </w:rPr>
        <w:t xml:space="preserve">You already know, intellectually, that starting is the answer. You probably knew it before you picked up this book. The gap between knowing that and actually starting is not an information problem. It is a nervous system problem — and understanding it precisely will help you work with it rather than against it.</w:t>
      </w:r>
    </w:p>
    <w:p>
      <w:pPr>
        <w:pStyle w:val="Heading3"/>
        <w:spacing w:after="160" w:before="320"/>
      </w:pPr>
      <w:r>
        <w:rPr>
          <w:rFonts w:ascii="Georgia" w:cs="Georgia" w:eastAsia="Georgia" w:hAnsi="Georgia"/>
          <w:b/>
          <w:bCs/>
          <w:color w:val="2A2A2A"/>
          <w:sz w:val="26"/>
          <w:szCs w:val="26"/>
        </w:rPr>
        <w:t xml:space="preserve">The Stress Escalation Loop</w:t>
      </w:r>
    </w:p>
    <w:p>
      <w:pPr>
        <w:spacing w:after="160" w:before="160" w:line="320"/>
      </w:pPr>
      <w:r>
        <w:rPr>
          <w:rFonts w:ascii="Georgia" w:cs="Georgia" w:eastAsia="Georgia" w:hAnsi="Georgia"/>
          <w:sz w:val="24"/>
          <w:szCs w:val="24"/>
        </w:rPr>
        <w:t xml:space="preserve">Research on procrastination has repeatedly converged on a pattern that psychologist Fuschia Sirois at Durham University calls the “emotional regulation model of procrastination.” The conventional view of procrastination is that it is a time management problem — a failure to allocate hours correctly. Sirois’s research, along with parallel work by Timothy Pychyl at Carleton University, overturned this view. Procrastination, they found, is primarily an emotion regulation strategy. You are not avoiding the task. You are avoiding the negative emotions the task generates: anxiety, self-doubt, boredom, fear of failure, fear of judgment.</w:t>
      </w:r>
    </w:p>
    <w:p>
      <w:pPr>
        <w:spacing w:after="160" w:before="160" w:line="320"/>
      </w:pPr>
      <w:r>
        <w:rPr>
          <w:rFonts w:ascii="Georgia" w:cs="Georgia" w:eastAsia="Georgia" w:hAnsi="Georgia"/>
          <w:sz w:val="24"/>
          <w:szCs w:val="24"/>
        </w:rPr>
        <w:t xml:space="preserve">The irony is that the avoidance makes the emotions worse. Here is the cycle in its full form: you feel anxious about the task, so you avoid it. The avoidance produces temporary relief — a real, biochemical reduction in stress that your brain registers as a reward. But the unfinished task remains in your cognitive background, generating low-level anxiety through the Zeigarnik Effect we covered in the previous chapter. Over time, that background anxiety compounds. The task grows larger in your mental representation of it. The next time you approach it, the anxiety spike is higher than before — which makes the avoidance more tempting, which produces more temporary relief, which reinforces the loop.</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Sirois, F. M., &amp; Pychyl, T. A. (2016). Their model of procrastination as emotion dysregulation is supported by neuroimaging studies showing that habitual procrastinators show higher amygdala activation — the brain’s threat-detection center — when confronted with tasks they associate with negative emotion, and weaker connectivity between the amygdala and the dorsal anterior cingulate cortex, the region responsible for translating intention into action. In plain terms: the procrastinating brain registers starting as a threat and is slower to override that threat signal with deliberate will.</w:t>
      </w:r>
    </w:p>
    <w:p>
      <w:pPr>
        <w:spacing w:after="160" w:before="160" w:line="320"/>
      </w:pPr>
      <w:r>
        <w:rPr>
          <w:rFonts w:ascii="Georgia" w:cs="Georgia" w:eastAsia="Georgia" w:hAnsi="Georgia"/>
          <w:sz w:val="24"/>
          <w:szCs w:val="24"/>
        </w:rPr>
        <w:t xml:space="preserve">The Ten-Minute Momentum Switch does not try to argue with this threat signal. It does not try to reason the amygdala out of its position. It does something more effective: it bypasses the argument entirely by making the action so small, so immediate, and so time-limited that the threat response does not fully engage before movement has already begun.</w:t>
      </w:r>
    </w:p>
    <w:p>
      <w:pPr>
        <w:pStyle w:val="Heading3"/>
        <w:spacing w:after="160" w:before="320"/>
      </w:pPr>
      <w:r>
        <w:rPr>
          <w:rFonts w:ascii="Georgia" w:cs="Georgia" w:eastAsia="Georgia" w:hAnsi="Georgia"/>
          <w:b/>
          <w:bCs/>
          <w:color w:val="2A2A2A"/>
          <w:sz w:val="26"/>
          <w:szCs w:val="26"/>
        </w:rPr>
        <w:t xml:space="preserve">The Planning Fallacy and the Cost of Over-Preparation</w:t>
      </w:r>
    </w:p>
    <w:p>
      <w:pPr>
        <w:spacing w:after="160" w:before="160" w:line="320"/>
      </w:pPr>
      <w:r>
        <w:rPr>
          <w:rFonts w:ascii="Georgia" w:cs="Georgia" w:eastAsia="Georgia" w:hAnsi="Georgia"/>
          <w:sz w:val="24"/>
          <w:szCs w:val="24"/>
        </w:rPr>
        <w:t xml:space="preserve">In 1979, Daniel Kahneman and Amos Tversky — the psychologists whose research on cognitive bias would eventually earn Kahneman a Nobel Prize — described what they called the “planning fallacy.” People consistently underestimate how long tasks will take and overestimate how smoothly they will proceed. But there is a companion phenomenon that receives less attention: people also overestimate how much preparation is required before a task can begin.</w:t>
      </w:r>
    </w:p>
    <w:p>
      <w:pPr>
        <w:spacing w:after="160" w:before="160" w:line="320"/>
      </w:pPr>
      <w:r>
        <w:rPr>
          <w:rFonts w:ascii="Georgia" w:cs="Georgia" w:eastAsia="Georgia" w:hAnsi="Georgia"/>
          <w:sz w:val="24"/>
          <w:szCs w:val="24"/>
        </w:rPr>
        <w:t xml:space="preserve">The brain, when faced with a complex or emotionally loaded task, generates what feels like a list of genuine prerequisites: I need to fully understand the scope before I start. I need to clear my schedule. I need to feel mentally fresh. I need to have the right materials organized. I need to have resolved the open questions. These feel like real requirements, not avoidance strategies. In most cases, they are avoidance strategies.</w:t>
      </w:r>
    </w:p>
    <w:p>
      <w:pPr>
        <w:spacing w:after="160" w:before="160" w:line="320"/>
      </w:pPr>
      <w:r>
        <w:rPr>
          <w:rFonts w:ascii="Georgia" w:cs="Georgia" w:eastAsia="Georgia" w:hAnsi="Georgia"/>
          <w:sz w:val="24"/>
          <w:szCs w:val="24"/>
        </w:rPr>
        <w:t xml:space="preserve">Roger Buehler at Wilfrid Laurier University, whose research extended Kahneman and Tversky’s work on planning, found that one of the primary drivers of the planning fallacy is what he called “scenario thinking” — the tendency to construct a single best-case mental scenario of how the task will unfold, rather than drawing on base rates from past experience. When you tell yourself you need to prepare more before starting, you are usually constructing a scenario in which the ideal version of starting requires ideal conditions. Real starting, which is the only kind available, requires nothing except the first action.</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“The best time to start was yesterday. The second best time is now, with whatever you have, in whatever condition you are in.”</w:t>
      </w:r>
      <w:r>
        <w:rPr>
          <w:rFonts w:ascii="Georgia" w:cs="Georgia" w:eastAsia="Georgia" w:hAnsi="Georgia"/>
          <w:color w:val="666666"/>
          <w:sz w:val="22"/>
          <w:szCs w:val="22"/>
        </w:rPr>
        <w:br/>
        <w:t xml:space="preserve">  — Piers Steel, author of The Procrastination Equation</w:t>
      </w:r>
    </w:p>
    <w:p>
      <w:pPr>
        <w:spacing w:after="160" w:before="160" w:line="320"/>
      </w:pPr>
      <w:r>
        <w:rPr>
          <w:rFonts w:ascii="Georgia" w:cs="Georgia" w:eastAsia="Georgia" w:hAnsi="Georgia"/>
          <w:sz w:val="24"/>
          <w:szCs w:val="24"/>
        </w:rPr>
        <w:t xml:space="preserve">Piers Steel at the University of Calgary, whose book ‘The Procrastination Equation’ synthesizes decades of procrastination research, argues that the feeling of “not being ready” is almost never an accurate assessment of actual readiness. It is an emotional signal generated by threat-avoidance circuitry — and it has essentially no predictive validity for how well you will perform once you begin.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Science of Ten Minutes</w:t>
      </w:r>
    </w:p>
    <w:p>
      <w:pPr>
        <w:spacing w:after="160" w:before="160" w:line="320"/>
      </w:pPr>
      <w:r>
        <w:rPr>
          <w:rFonts w:ascii="Georgia" w:cs="Georgia" w:eastAsia="Georgia" w:hAnsi="Georgia"/>
          <w:sz w:val="24"/>
          <w:szCs w:val="24"/>
        </w:rPr>
        <w:t xml:space="preserve">Why ten minutes specifically? The answer is not arbitrary, and understanding it will help you trust the tool even when your brain is insisting that ten minutes could not possibly make a meaningful difference.</w:t>
      </w:r>
    </w:p>
    <w:p>
      <w:pPr>
        <w:pStyle w:val="Heading3"/>
        <w:spacing w:after="160" w:before="320"/>
      </w:pPr>
      <w:r>
        <w:rPr>
          <w:rFonts w:ascii="Georgia" w:cs="Georgia" w:eastAsia="Georgia" w:hAnsi="Georgia"/>
          <w:b/>
          <w:bCs/>
          <w:color w:val="2A2A2A"/>
          <w:sz w:val="26"/>
          <w:szCs w:val="26"/>
        </w:rPr>
        <w:t xml:space="preserve">The Threshold of Engagement</w:t>
      </w:r>
    </w:p>
    <w:p>
      <w:pPr>
        <w:spacing w:after="160" w:before="160" w:line="320"/>
      </w:pPr>
      <w:r>
        <w:rPr>
          <w:rFonts w:ascii="Georgia" w:cs="Georgia" w:eastAsia="Georgia" w:hAnsi="Georgia"/>
          <w:sz w:val="24"/>
          <w:szCs w:val="24"/>
        </w:rPr>
        <w:t xml:space="preserve">Psychologist Mihaly Csikszentmihalyi at the University of Chicago devoted decades of research to the conditions that produce what he called “flow” — the state of complete absorption in a task where self-consciousness recedes and performance increases. His research, synthesized in his landmark book ‘Flow: The Psychology of Optimal Experience’ (1990), identified several consistent preconditions for flow. One of the most significant: you must first pass through an initial period of engagement, during which the task’s demands register as manageable, before the absorbed state becomes accessible.</w:t>
      </w:r>
    </w:p>
    <w:p>
      <w:pPr>
        <w:spacing w:after="160" w:before="160" w:line="320"/>
      </w:pPr>
      <w:r>
        <w:rPr>
          <w:rFonts w:ascii="Georgia" w:cs="Georgia" w:eastAsia="Georgia" w:hAnsi="Georgia"/>
          <w:sz w:val="24"/>
          <w:szCs w:val="24"/>
        </w:rPr>
        <w:t xml:space="preserve">Flow is not available at the start of a task. It becomes available once you have been inside the task long enough for your attention to consolidate around it — typically somewhere between five and fifteen minutes of uninterrupted engagement. The ten-minute structure of the Momentum Switch is calibrated to reach, or approach, this threshold. You are not doing ten minutes of productive work and then stopping. You are doing ten minutes specifically to get yourself to the point where continuation becomes natural rather than forced.</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Csikszentmihalyi, M. (1990). Flow: The Psychology of Optimal Experience. Harper &amp; Row. His sampling studies, which tracked participants’ internal states at random intervals throughout the day, found that flow states were reported significantly more often during active engagement with challenging tasks than during leisure or passive activities. Critically, respondents often reported that their mood before beginning these tasks was neutral or negative — the positive state arrived through engagement, not before it.</w:t>
      </w:r>
    </w:p>
    <w:p>
      <w:pPr>
        <w:pStyle w:val="Heading3"/>
        <w:spacing w:after="160" w:before="320"/>
      </w:pPr>
      <w:r>
        <w:rPr>
          <w:rFonts w:ascii="Georgia" w:cs="Georgia" w:eastAsia="Georgia" w:hAnsi="Georgia"/>
          <w:b/>
          <w:bCs/>
          <w:color w:val="2A2A2A"/>
          <w:sz w:val="26"/>
          <w:szCs w:val="26"/>
        </w:rPr>
        <w:t xml:space="preserve">Momentum, Completion, and the Ovsiankina Effect</w:t>
      </w:r>
    </w:p>
    <w:p>
      <w:pPr>
        <w:spacing w:after="160" w:before="160" w:line="320"/>
      </w:pPr>
      <w:r>
        <w:rPr>
          <w:rFonts w:ascii="Georgia" w:cs="Georgia" w:eastAsia="Georgia" w:hAnsi="Georgia"/>
          <w:sz w:val="24"/>
          <w:szCs w:val="24"/>
        </w:rPr>
        <w:t xml:space="preserve">Bluma Zeigarnik’s work on incomplete tasks — introduced in the previous chapter — had a colleague whose research extended it in a direction directly relevant here. Maria Ovsiankina, working in the same Berlin laboratory in the 1920s, ran a series of experiments in which participants were interrupted mid-task and later given the opportunity to resume. She found that the overwhelming majority spontaneously returned to resume the interrupted task — not because they were instructed to, but because the incomplete task generated an internal pressure toward completion.</w:t>
      </w:r>
    </w:p>
    <w:p>
      <w:pPr>
        <w:spacing w:after="160" w:before="160" w:line="320"/>
      </w:pPr>
      <w:r>
        <w:rPr>
          <w:rFonts w:ascii="Georgia" w:cs="Georgia" w:eastAsia="Georgia" w:hAnsi="Georgia"/>
          <w:sz w:val="24"/>
          <w:szCs w:val="24"/>
        </w:rPr>
        <w:t xml:space="preserve">This became known as the Ovsiankina Effect: once a task is begun, the mind develops a natural tendency to want to complete it. The energy required to continue is lower than the energy required to start. Initiating generates momentum. The first ten minutes of the Momentum Switch exploit this effect directly: your job is not to maintain motivation through the whole task. Your job is to create an open loop that your brain will want to close.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“An object in motion stays in motion. This is as true of human attention as it is of physics. The hard part is not maintaining momentum. The hard part is creating it.”</w:t>
      </w:r>
      <w:r>
        <w:rPr>
          <w:rFonts w:ascii="Georgia" w:cs="Georgia" w:eastAsia="Georgia" w:hAnsi="Georgia"/>
          <w:color w:val="666666"/>
          <w:sz w:val="22"/>
          <w:szCs w:val="22"/>
        </w:rPr>
        <w:br/>
        <w:t xml:space="preserve">  — Charles Duhigg, The Power of Habit</w:t>
      </w:r>
    </w:p>
    <w:p>
      <w:pPr>
        <w:spacing w:after="160" w:before="160" w:line="320"/>
      </w:pPr>
      <w:r>
        <w:rPr>
          <w:rFonts w:ascii="Georgia" w:cs="Georgia" w:eastAsia="Georgia" w:hAnsi="Georgia"/>
          <w:sz w:val="24"/>
          <w:szCs w:val="24"/>
        </w:rPr>
        <w:t xml:space="preserve">Charles Duhigg, in his examination of habit formation in ‘The Power of Habit’ (2012), describes a similar mechanism in behavioral terms: the cue-routine-reward loop. When a behavior is consistently performed in response to a specific cue, the brain begins to automate it. The cue triggers a craving for the reward, and the routine — the behavior — becomes the path of least resistance. The Ten-Minute Momentum Switch, practiced consistently, becomes this kind of cue-response pairing: the state of feeling stuck becomes the cue, and the ten-minute start becomes the automatic response.</w:t>
      </w:r>
    </w:p>
    <w:p>
      <w:pPr>
        <w:pStyle w:val="Heading3"/>
        <w:spacing w:after="160" w:before="320"/>
      </w:pPr>
      <w:r>
        <w:rPr>
          <w:rFonts w:ascii="Georgia" w:cs="Georgia" w:eastAsia="Georgia" w:hAnsi="Georgia"/>
          <w:b/>
          <w:bCs/>
          <w:color w:val="2A2A2A"/>
          <w:sz w:val="26"/>
          <w:szCs w:val="26"/>
        </w:rPr>
        <w:t xml:space="preserve">The Role of the Body: Somatic Priming</w:t>
      </w:r>
    </w:p>
    <w:p>
      <w:pPr>
        <w:spacing w:after="160" w:before="160" w:line="320"/>
      </w:pPr>
      <w:r>
        <w:rPr>
          <w:rFonts w:ascii="Georgia" w:cs="Georgia" w:eastAsia="Georgia" w:hAnsi="Georgia"/>
          <w:sz w:val="24"/>
          <w:szCs w:val="24"/>
        </w:rPr>
        <w:t xml:space="preserve">One aspect of inertia that is frequently overlooked in discussions of procrastination is the physical dimension. When you have been avoiding a task for a period of time, your body is not neutral — it is actively in a low-arousal, withdrawal state. Psychophysiological research by Jaap Denissen at Utrecht University found that approach and avoidance behaviors are associated with distinct physiological signatures: approach states involve higher heart rate variability, greater muscle readiness, and a forward postural orientation. Avoidance states involve the opposite.</w:t>
      </w:r>
    </w:p>
    <w:p>
      <w:pPr>
        <w:spacing w:after="160" w:before="160" w:line="320"/>
      </w:pPr>
      <w:r>
        <w:rPr>
          <w:rFonts w:ascii="Georgia" w:cs="Georgia" w:eastAsia="Georgia" w:hAnsi="Georgia"/>
          <w:sz w:val="24"/>
          <w:szCs w:val="24"/>
        </w:rPr>
        <w:t xml:space="preserve">This matters because the physical state of avoidance does not simply resolve itself when you decide to act. There is a transitional period during which your body must shift from one state to the other — and during this transition, the discomfort is real and significant. It feels like resistance, like friction, like the sensation of doing something wrong. Most people interpret this feeling as a signal that now is not the right time to start. It is not. It is the signal that the transition is happening. Ten minutes carries you through the transition into the approach state, where continuation is no longer painful.</w:t>
      </w:r>
    </w:p>
    <w:p>
      <w:pPr>
        <w:spacing w:after="160" w:before="160" w:line="320"/>
      </w:pPr>
      <w:r>
        <w:rPr>
          <w:rFonts w:ascii="Georgia" w:cs="Georgia" w:eastAsia="Georgia" w:hAnsi="Georgia"/>
          <w:sz w:val="24"/>
          <w:szCs w:val="24"/>
        </w:rPr>
        <w:t xml:space="preserve">This is also why physical movement before a cognitive task is so consistently effective. Even something as simple as standing up, moving to a different location, or making a deliberate gesture — like Derek closing his phone and opening his laptop with intention — can shift the physiological state enough to reduce the friction of beginning.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Meet Derek — And the Planning Machine That Freezes</w:t>
      </w:r>
    </w:p>
    <w:p>
      <w:pPr>
        <w:spacing w:after="160" w:before="160" w:line="320"/>
      </w:pPr>
      <w:r>
        <w:rPr>
          <w:rFonts w:ascii="Georgia" w:cs="Georgia" w:eastAsia="Georgia" w:hAnsi="Georgia"/>
          <w:sz w:val="24"/>
          <w:szCs w:val="24"/>
        </w:rPr>
        <w:t xml:space="preserve">Derek is 22, a university student with a strong academic record and a genuine interest in his subject. He is not someone who lacks ambition or intelligence. He is someone whose planning capacity has outrun his execution capacity — and the gap between them has become a source of private shame.</w:t>
      </w:r>
    </w:p>
    <w:p>
      <w:pPr>
        <w:spacing w:after="160" w:before="160" w:line="320"/>
      </w:pPr>
      <w:r>
        <w:rPr>
          <w:rFonts w:ascii="Georgia" w:cs="Georgia" w:eastAsia="Georgia" w:hAnsi="Georgia"/>
          <w:sz w:val="24"/>
          <w:szCs w:val="24"/>
        </w:rPr>
        <w:t xml:space="preserve">His pattern is specific and recognizable. When an assignment lands, Derek does not ignore it. He opens it. He reads the brief carefully. He thinks about what it requires. He constructs, mentally or in a document, a thorough plan: the sections he will write, the sources he will consult, the argument he will build. The plan is good. Sometimes it is excellent. Then the document closes, and the plan sits there, beautifully structured, while the actual writing does not happen.</w:t>
      </w:r>
    </w:p>
    <w:p>
      <w:pPr>
        <w:spacing w:after="160" w:before="160" w:line="320"/>
      </w:pPr>
      <w:r>
        <w:rPr>
          <w:rFonts w:ascii="Georgia" w:cs="Georgia" w:eastAsia="Georgia" w:hAnsi="Georgia"/>
          <w:sz w:val="24"/>
          <w:szCs w:val="24"/>
        </w:rPr>
        <w:t xml:space="preserve">When he finally sits down to work, something shifts. The plan that felt reassuring when he was constructing it now feels like a commitment he cannot live up to. The assignment has become, in his mind, a test of whether he can produce work as good as the plan suggested. He opens his notes and reorganizes them. He looks up one more source. He switches to a different task — one that feels achievable, one that will not expose the gap between what he planned and what he can actually produce. Then guilt arrives. Then the cycle restarts.</w:t>
      </w:r>
    </w:p>
    <w:p>
      <w:pPr>
        <w:spacing w:after="160" w:before="160" w:line="320"/>
      </w:pPr>
      <w:r>
        <w:rPr>
          <w:rFonts w:ascii="Georgia" w:cs="Georgia" w:eastAsia="Georgia" w:hAnsi="Georgia"/>
          <w:sz w:val="24"/>
          <w:szCs w:val="24"/>
        </w:rPr>
        <w:t xml:space="preserve">Derek is experiencing what psychologist Carol Dweck at Stanford University calls a “fixed mindset” performance trap: a situation where performance on a task has become associated with the validation of a fixed identity — in his case, the identity of someone who is intelligent and capable. Every task is no longer just a task. It is an audition. And the fear of a bad audition is sufficient to make not performing feel safer than performing badly.</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Dweck, C. S. (2006). Mindset: The New Psychology of Success. Random House. Dweck’s research found that students with fixed mindsets — those who believed intelligence was a static trait rather than a developable capacity — were significantly more likely to avoid challenging tasks, give up earlier when faced with difficulty, and interpret mistakes as evidence of permanent inadequacy. Growth mindset students, by contrast, treated difficulty as information and effort as the mechanism of improvement. Critically, the fixed/growth mindset distinction was not correlated with actual ability level — it was correlated with what students believed about the nature of ability.</w:t>
      </w:r>
    </w:p>
    <w:p>
      <w:pPr>
        <w:spacing w:after="160" w:before="160" w:line="320"/>
      </w:pPr>
      <w:r>
        <w:rPr>
          <w:rFonts w:ascii="Georgia" w:cs="Georgia" w:eastAsia="Georgia" w:hAnsi="Georgia"/>
          <w:sz w:val="24"/>
          <w:szCs w:val="24"/>
        </w:rPr>
        <w:t xml:space="preserve">The Ten-Minute Momentum Switch addresses Derek’s pattern not by changing his beliefs about his own intelligence — that is longer work — but by removing the task from the arena of identity performance entirely. Ten minutes of deliberately imperfect starting has nothing to do with proving capability. It is just motion. And motion, it turns out, is the precondition for capability to actually emerge.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“Becoming is better than being. The fixed mindset does not allow people the luxury of becoming. They have to already be.”</w:t>
      </w:r>
      <w:r>
        <w:rPr>
          <w:rFonts w:ascii="Georgia" w:cs="Georgia" w:eastAsia="Georgia" w:hAnsi="Georgia"/>
          <w:color w:val="666666"/>
          <w:sz w:val="22"/>
          <w:szCs w:val="22"/>
        </w:rPr>
        <w:br/>
        <w:t xml:space="preserve">  — Carol Dweck, Mindset</w:t>
      </w:r>
    </w:p>
    <w:p>
      <w:pPr>
        <w:spacing w:after="160" w:before="160" w:line="320"/>
      </w:pPr>
      <w:r>
        <w:rPr>
          <w:rFonts w:ascii="Georgia" w:cs="Georgia" w:eastAsia="Georgia" w:hAnsi="Georgia"/>
          <w:sz w:val="24"/>
          <w:szCs w:val="24"/>
        </w:rPr>
        <w:t xml:space="preserve">When Derek did his first ten minutes, his output looked, by any objective standard, unimpressive. He opened the document, wrote a messy outline, and answered one question he already knew the answer to. That was it. But something happened in those ten minutes that the preceding three days of careful planning had not produced: the assignment became real. It had words in it. It existed in the world as a thing he was doing rather than a thing he was about to do. The identity threat dissolved, not because he had resolved it intellectually, but because he had stepped past it physically.</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3: Do the Next Right Thing for Ten Minutes</w:t>
      </w:r>
    </w:p>
    <w:p>
      <w:pPr>
        <w:spacing w:after="160" w:before="160" w:line="320"/>
      </w:pPr>
      <w:r>
        <w:rPr>
          <w:rFonts w:ascii="Georgia" w:cs="Georgia" w:eastAsia="Georgia" w:hAnsi="Georgia"/>
          <w:sz w:val="24"/>
          <w:szCs w:val="24"/>
        </w:rPr>
        <w:t xml:space="preserve">Day 3 introduces the Ten-Minute Momentum Switch in its basic form. The structure is simple, and its simplicity is the point. Complex systems require willpower to initiate. This requires almost none.</w:t>
      </w:r>
    </w:p>
    <w:p>
      <w:pPr>
        <w:pStyle w:val="Heading3"/>
        <w:spacing w:after="160" w:before="320"/>
      </w:pPr>
      <w:r>
        <w:rPr>
          <w:rFonts w:ascii="Georgia" w:cs="Georgia" w:eastAsia="Georgia" w:hAnsi="Georgia"/>
          <w:b/>
          <w:bCs/>
          <w:color w:val="2A2A2A"/>
          <w:sz w:val="26"/>
          <w:szCs w:val="26"/>
        </w:rPr>
        <w:t xml:space="preserve">The Exercise</w:t>
      </w:r>
    </w:p>
    <w:p>
      <w:pPr>
        <w:spacing w:after="160" w:before="160" w:line="320"/>
      </w:pPr>
      <w:r>
        <w:rPr>
          <w:rFonts w:ascii="Georgia" w:cs="Georgia" w:eastAsia="Georgia" w:hAnsi="Georgia"/>
          <w:sz w:val="24"/>
          <w:szCs w:val="24"/>
        </w:rPr>
        <w:t xml:space="preserve">Pick one task your brain is currently avoiding. One. Not a category of tasks, not everything you should be doing, not the “biggest priority.” One specific, nameable task. The switch only works when aimed at a single target, because specificity removes the cognitive load of deciding where to start. The decision is already made.</w:t>
      </w:r>
    </w:p>
    <w:p>
      <w:pPr>
        <w:spacing w:after="160" w:before="160" w:line="320"/>
      </w:pPr>
      <w:r>
        <w:rPr>
          <w:rFonts w:ascii="Georgia" w:cs="Georgia" w:eastAsia="Georgia" w:hAnsi="Georgia"/>
          <w:sz w:val="24"/>
          <w:szCs w:val="24"/>
        </w:rPr>
        <w:t xml:space="preserve">Set a timer for ten minutes. Before you start the timer, do not adjust your workspace, check one last thing, or allow yourself any preparatory actions. The timer and the task are the only things. Start the timer and immediately begin the smallest version of the task you can reasonably perform.</w:t>
      </w:r>
    </w:p>
    <w:p>
      <w:pPr>
        <w:spacing w:after="160" w:before="160" w:line="320"/>
      </w:pPr>
      <w:r>
        <w:rPr>
          <w:rFonts w:ascii="Georgia" w:cs="Georgia" w:eastAsia="Georgia" w:hAnsi="Georgia"/>
          <w:sz w:val="24"/>
          <w:szCs w:val="24"/>
        </w:rPr>
        <w:t xml:space="preserve">What counts as the smallest version? It is the action that makes first contact with the actual task — not the preparation, not the meta-work, the task itself.</w:t>
      </w:r>
    </w:p>
    <w:p>
      <w:pPr>
        <w:spacing w:after="160" w:before="160" w:line="320"/>
      </w:pPr>
      <w:r>
        <w:rPr>
          <w:rFonts w:ascii="Georgia" w:cs="Georgia" w:eastAsia="Georgia" w:hAnsi="Georgia"/>
          <w:b/>
          <w:bCs/>
          <w:sz w:val="24"/>
          <w:szCs w:val="24"/>
        </w:rPr>
        <w:t xml:space="preserve">If it is studying: </w:t>
      </w:r>
      <w:r>
        <w:rPr>
          <w:rFonts w:ascii="Georgia" w:cs="Georgia" w:eastAsia="Georgia" w:hAnsi="Georgia"/>
          <w:sz w:val="24"/>
          <w:szCs w:val="24"/>
        </w:rPr>
        <w:t xml:space="preserve">open the notes and read the first page. Not the summary page. Not the introduction to your own notes. The first page of the material.</w:t>
      </w:r>
    </w:p>
    <w:p>
      <w:pPr>
        <w:spacing w:after="160" w:before="160" w:line="320"/>
      </w:pPr>
      <w:r>
        <w:rPr>
          <w:rFonts w:ascii="Georgia" w:cs="Georgia" w:eastAsia="Georgia" w:hAnsi="Georgia"/>
          <w:b/>
          <w:bCs/>
          <w:sz w:val="24"/>
          <w:szCs w:val="24"/>
        </w:rPr>
        <w:t xml:space="preserve">If it is a piece of writing: </w:t>
      </w:r>
      <w:r>
        <w:rPr>
          <w:rFonts w:ascii="Georgia" w:cs="Georgia" w:eastAsia="Georgia" w:hAnsi="Georgia"/>
          <w:sz w:val="24"/>
          <w:szCs w:val="24"/>
        </w:rPr>
        <w:t xml:space="preserve">type the title and two sentences. They do not have to be good sentences. They have to be real sentences.</w:t>
      </w:r>
    </w:p>
    <w:p>
      <w:pPr>
        <w:spacing w:after="160" w:before="160" w:line="320"/>
      </w:pPr>
      <w:r>
        <w:rPr>
          <w:rFonts w:ascii="Georgia" w:cs="Georgia" w:eastAsia="Georgia" w:hAnsi="Georgia"/>
          <w:b/>
          <w:bCs/>
          <w:sz w:val="24"/>
          <w:szCs w:val="24"/>
        </w:rPr>
        <w:t xml:space="preserve">If it is an email you have been avoiding: </w:t>
      </w:r>
      <w:r>
        <w:rPr>
          <w:rFonts w:ascii="Georgia" w:cs="Georgia" w:eastAsia="Georgia" w:hAnsi="Georgia"/>
          <w:sz w:val="24"/>
          <w:szCs w:val="24"/>
        </w:rPr>
        <w:t xml:space="preserve">open the compose window and write the first line. Not the subject line. The actual first line of the body.</w:t>
      </w:r>
    </w:p>
    <w:p>
      <w:pPr>
        <w:spacing w:after="160" w:before="160" w:line="320"/>
      </w:pPr>
      <w:r>
        <w:rPr>
          <w:rFonts w:ascii="Georgia" w:cs="Georgia" w:eastAsia="Georgia" w:hAnsi="Georgia"/>
          <w:b/>
          <w:bCs/>
          <w:sz w:val="24"/>
          <w:szCs w:val="24"/>
        </w:rPr>
        <w:t xml:space="preserve">If it is a physical task: </w:t>
      </w:r>
      <w:r>
        <w:rPr>
          <w:rFonts w:ascii="Georgia" w:cs="Georgia" w:eastAsia="Georgia" w:hAnsi="Georgia"/>
          <w:sz w:val="24"/>
          <w:szCs w:val="24"/>
        </w:rPr>
        <w:t xml:space="preserve">begin the single most obvious first action. One load of laundry. One surface wiped. One drawer sorted.</w:t>
      </w:r>
    </w:p>
    <w:p>
      <w:pPr>
        <w:spacing w:after="160" w:before="160" w:line="320"/>
      </w:pPr>
      <w:r>
        <w:rPr>
          <w:rFonts w:ascii="Georgia" w:cs="Georgia" w:eastAsia="Georgia" w:hAnsi="Georgia"/>
          <w:sz w:val="24"/>
          <w:szCs w:val="24"/>
        </w:rPr>
        <w:t xml:space="preserve">The instruction that matters most: you are not trying to be impressive. You are trying to create motion. The quality of what you produce in these ten minutes is irrelevant. The only metric that counts is whether something exists at the end that did not exist at the beginning.</w:t>
      </w:r>
    </w:p>
    <w:p>
      <w:pPr>
        <w:pStyle w:val="Heading3"/>
        <w:spacing w:after="160" w:before="320"/>
      </w:pPr>
      <w:r>
        <w:rPr>
          <w:rFonts w:ascii="Georgia" w:cs="Georgia" w:eastAsia="Georgia" w:hAnsi="Georgia"/>
          <w:b/>
          <w:bCs/>
          <w:color w:val="2A2A2A"/>
          <w:sz w:val="26"/>
          <w:szCs w:val="26"/>
        </w:rPr>
        <w:t xml:space="preserve">The Permission Structure: You Can Stop After Ten Minutes</w:t>
      </w:r>
    </w:p>
    <w:p>
      <w:pPr>
        <w:spacing w:after="160" w:before="160" w:line="320"/>
      </w:pPr>
      <w:r>
        <w:rPr>
          <w:rFonts w:ascii="Georgia" w:cs="Georgia" w:eastAsia="Georgia" w:hAnsi="Georgia"/>
          <w:sz w:val="24"/>
          <w:szCs w:val="24"/>
        </w:rPr>
        <w:t xml:space="preserve">Here is the element of the Momentum Switch that most people initially resist and later identify as the most important part: you are allowed to stop after the timer ends. Completely. Without guilt. The ten minutes is not a minimum — it is a complete unit. If you do ten minutes and walk away, you have succeeded at the exercise.</w:t>
      </w:r>
    </w:p>
    <w:p>
      <w:pPr>
        <w:spacing w:after="160" w:before="160" w:line="320"/>
      </w:pPr>
      <w:r>
        <w:rPr>
          <w:rFonts w:ascii="Georgia" w:cs="Georgia" w:eastAsia="Georgia" w:hAnsi="Georgia"/>
          <w:sz w:val="24"/>
          <w:szCs w:val="24"/>
        </w:rPr>
        <w:t xml:space="preserve">This matters for a specific psychological reason, grounded in research on what Roy Baumeister at Florida State University calls “ego depletion” — the finding that willpower and self-regulatory capacity are finite resources that deplete with use. Baumeister’s studies found that asking people to commit to open-ended tasks — tasks without a defined endpoint — consumed more self-regulatory resources than committing to time-limited tasks of equivalent difficulty. The dread of an open-ended task is partly the dread of not knowing when it will end.</w:t>
      </w:r>
    </w:p>
    <w:p>
      <w:pPr>
        <w:spacing w:after="160" w:before="160" w:line="320"/>
      </w:pPr>
      <w:r>
        <w:rPr>
          <w:rFonts w:ascii="Georgia" w:cs="Georgia" w:eastAsia="Georgia" w:hAnsi="Georgia"/>
          <w:sz w:val="24"/>
          <w:szCs w:val="24"/>
        </w:rPr>
        <w:t xml:space="preserve">By making the ten minutes a genuine option to stop, you reduce the perceived threat of beginning. Your brain is not committing to finishing the assignment. It is committing to ten minutes. Ten minutes is survivable. Ten minutes does not require marshaling huge reserves of willpower. Your nervous system can agree to ten minutes even when it cannot agree to the whole task.</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Baumeister, R. F., Bratslavsky, E., Muraven, M., &amp; Tice, D. M. (1998). Ego depletion: Is the active self a limited resource? Journal of Personality and Social Psychology, 74(5), 1252–1265. This foundational study demonstrated that acts of self-control draw on a shared resource that diminishes with use. Later research by Wendy Wood at USC has refined this picture, suggesting that the “resource” metaphor is partly about effort perception rather than strict biological depletion — but the practical implication holds: tasks with clear endpoints are significantly easier to begin and complete than open-ended ones.</w:t>
      </w:r>
    </w:p>
    <w:p>
      <w:pPr>
        <w:spacing w:after="160" w:before="160" w:line="320"/>
      </w:pPr>
      <w:r>
        <w:rPr>
          <w:rFonts w:ascii="Georgia" w:cs="Georgia" w:eastAsia="Georgia" w:hAnsi="Georgia"/>
          <w:sz w:val="24"/>
          <w:szCs w:val="24"/>
        </w:rPr>
        <w:t xml:space="preserve">The practical result: most people who do ten minutes do not stop at ten minutes. The Ovsiankina Effect kicks in, the task has momentum, and continuation feels easier than stopping. But the option to stop is what made beginning possible. It is not a trick. It is a genuine offer — one your brain will usually choose to decline once it has experienced how manageable the actual task is.</w:t>
      </w:r>
    </w:p>
    <w:p>
      <w:pPr>
        <w:pStyle w:val="Heading3"/>
        <w:spacing w:after="160" w:before="320"/>
      </w:pPr>
      <w:r>
        <w:rPr>
          <w:rFonts w:ascii="Georgia" w:cs="Georgia" w:eastAsia="Georgia" w:hAnsi="Georgia"/>
          <w:b/>
          <w:bCs/>
          <w:color w:val="2A2A2A"/>
          <w:sz w:val="26"/>
          <w:szCs w:val="26"/>
        </w:rPr>
        <w:t xml:space="preserve">The 30-Second Debrief</w:t>
      </w:r>
    </w:p>
    <w:p>
      <w:pPr>
        <w:spacing w:after="160" w:before="160" w:line="320"/>
      </w:pPr>
      <w:r>
        <w:rPr>
          <w:rFonts w:ascii="Georgia" w:cs="Georgia" w:eastAsia="Georgia" w:hAnsi="Georgia"/>
          <w:sz w:val="24"/>
          <w:szCs w:val="24"/>
        </w:rPr>
        <w:t xml:space="preserve">When the timer ends, do not immediately move on. Take thirty seconds — just thirty — and notice what happened in your body and mind during the ten minutes. You do not need to write anything down at this stage. You are building interoceptive awareness: the capacity to accurately read your own internal states.</w:t>
      </w:r>
    </w:p>
    <w:p>
      <w:pPr>
        <w:spacing w:after="160" w:before="160" w:line="320"/>
      </w:pPr>
      <w:r>
        <w:rPr>
          <w:rFonts w:ascii="Georgia" w:cs="Georgia" w:eastAsia="Georgia" w:hAnsi="Georgia"/>
          <w:sz w:val="24"/>
          <w:szCs w:val="24"/>
        </w:rPr>
        <w:t xml:space="preserve">Specifically, notice: did the urge to escape diminish after the first few minutes? Did your thoughts about the task change in character — from threatening and abstract to manageable and concrete? Did you experience any version of the absorbed state that Csikszentmihalyi describes, even briefly?</w:t>
      </w:r>
    </w:p>
    <w:p>
      <w:pPr>
        <w:spacing w:after="160" w:before="160" w:line="320"/>
      </w:pPr>
      <w:r>
        <w:rPr>
          <w:rFonts w:ascii="Georgia" w:cs="Georgia" w:eastAsia="Georgia" w:hAnsi="Georgia"/>
          <w:sz w:val="24"/>
          <w:szCs w:val="24"/>
        </w:rPr>
        <w:t xml:space="preserve">Most people, on reflection, notice that the anxiety spike was highest in the seconds immediately before and after starting — and dropped once they were genuinely inside the task. This is the corrective experience that behavioral psychologists describe: the direct, embodied discovery that the task is survivable. It is one thing to be told this is true. It is another to feel it, viscerally, in your own nervous system. The thirty-second debrief is how you consolidate that experience into memory so it is available the next time your brain argues against starting.</w:t>
      </w:r>
    </w:p>
    <w:p>
      <w:pPr>
        <w:pStyle w:val="Heading3"/>
        <w:spacing w:after="160" w:before="320"/>
      </w:pPr>
      <w:r>
        <w:rPr>
          <w:rFonts w:ascii="Georgia" w:cs="Georgia" w:eastAsia="Georgia" w:hAnsi="Georgia"/>
          <w:b/>
          <w:bCs/>
          <w:color w:val="2A2A2A"/>
          <w:sz w:val="26"/>
          <w:szCs w:val="26"/>
        </w:rPr>
        <w:t xml:space="preserve">Derek’s First Ten Minutes</w:t>
      </w:r>
    </w:p>
    <w:p>
      <w:pPr>
        <w:spacing w:after="160" w:before="160" w:line="320"/>
      </w:pPr>
      <w:r>
        <w:rPr>
          <w:rFonts w:ascii="Georgia" w:cs="Georgia" w:eastAsia="Georgia" w:hAnsi="Georgia"/>
          <w:sz w:val="24"/>
          <w:szCs w:val="24"/>
        </w:rPr>
        <w:t xml:space="preserve">Derek’s first Momentum Switch looked, from the outside, quite ordinary. He set the timer, opened the document, and spent about three minutes staring at the outline he had already constructed. Then he picked one section and wrote a rough answer to a question he was confident he knew. Not the most important section. Not the introduction. The section where the threshold of anxiety was lowest.</w:t>
      </w:r>
    </w:p>
    <w:p>
      <w:pPr>
        <w:spacing w:after="160" w:before="160" w:line="320"/>
      </w:pPr>
      <w:r>
        <w:rPr>
          <w:rFonts w:ascii="Georgia" w:cs="Georgia" w:eastAsia="Georgia" w:hAnsi="Georgia"/>
          <w:sz w:val="24"/>
          <w:szCs w:val="24"/>
        </w:rPr>
        <w:t xml:space="preserve">Then he wrote a second sentence. Then a third. When the timer ended, he had about two hundred words — nothing impressive by any academic standard, but two hundred words that had not existed an hour before. And something had shifted in the quality of his internal experience of the assignment. It was no longer a looming, shapeless threat. It was a document with words in it, words that could be revised, extended, rearranged. The planning had given him a structure. The ten minutes had given him a task.</w:t>
      </w:r>
    </w:p>
    <w:p>
      <w:pPr>
        <w:spacing w:after="160" w:before="160" w:line="320"/>
      </w:pPr>
      <w:r>
        <w:rPr>
          <w:rFonts w:ascii="Georgia" w:cs="Georgia" w:eastAsia="Georgia" w:hAnsi="Georgia"/>
          <w:sz w:val="24"/>
          <w:szCs w:val="24"/>
        </w:rPr>
        <w:t xml:space="preserve">The distinction is essential: a plan describes work. Work is work. No amount of planning is equivalent to even ten minutes of genuine doing, and the emotional weight of the task — the dread, the avoidance, the identity threat — does not lift with more planning. It lifts with more doing.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4: Repeat the Switch — Same Task, Different Start</w:t>
      </w:r>
    </w:p>
    <w:p>
      <w:pPr>
        <w:spacing w:after="160" w:before="160" w:line="320"/>
      </w:pPr>
      <w:r>
        <w:rPr>
          <w:rFonts w:ascii="Georgia" w:cs="Georgia" w:eastAsia="Georgia" w:hAnsi="Georgia"/>
          <w:sz w:val="24"/>
          <w:szCs w:val="24"/>
        </w:rPr>
        <w:t xml:space="preserve">Day 4 is where the tool becomes a pattern rather than a one-off experiment. You are going to run the Ten-Minute Momentum Switch again on the same task, but with a different entry point. This is deliberate, and the reason for it matters.</w:t>
      </w:r>
    </w:p>
    <w:p>
      <w:pPr>
        <w:pStyle w:val="Heading3"/>
        <w:spacing w:after="160" w:before="320"/>
      </w:pPr>
      <w:r>
        <w:rPr>
          <w:rFonts w:ascii="Georgia" w:cs="Georgia" w:eastAsia="Georgia" w:hAnsi="Georgia"/>
          <w:b/>
          <w:bCs/>
          <w:color w:val="2A2A2A"/>
          <w:sz w:val="26"/>
          <w:szCs w:val="26"/>
        </w:rPr>
        <w:t xml:space="preserve">Why Repetition Changes the Habit Structure</w:t>
      </w:r>
    </w:p>
    <w:p>
      <w:pPr>
        <w:spacing w:after="160" w:before="160" w:line="320"/>
      </w:pPr>
      <w:r>
        <w:rPr>
          <w:rFonts w:ascii="Georgia" w:cs="Georgia" w:eastAsia="Georgia" w:hAnsi="Georgia"/>
          <w:sz w:val="24"/>
          <w:szCs w:val="24"/>
        </w:rPr>
        <w:t xml:space="preserve">A single instance of a new behavior is an event. A repeated instance, under similar conditions, begins to become a habit. The neuroscience of habit formation, studied extensively by Ann Graybiel at MIT’s McGovern Institute for Brain Research, shows that habits are stored differently from deliberate actions. They are encoded in the basal ganglia as chunked behavioral sequences — stimulus-response pairs that, once sufficiently reinforced, trigger automatically without requiring conscious deliberation.</w:t>
      </w:r>
    </w:p>
    <w:p>
      <w:pPr>
        <w:spacing w:after="160" w:before="160" w:line="320"/>
      </w:pPr>
      <w:r>
        <w:rPr>
          <w:rFonts w:ascii="Georgia" w:cs="Georgia" w:eastAsia="Georgia" w:hAnsi="Georgia"/>
          <w:sz w:val="24"/>
          <w:szCs w:val="24"/>
        </w:rPr>
        <w:t xml:space="preserve">This is the goal: not to make yourself consciously choose to use the Momentum Switch every time you feel stuck, but to make the feeling of being stuck automatically trigger a brief starting action. When that automation is in place, the internal argument — the negotiation, the bargaining, the “I’ll start when I’m ready” — loses its foothold. The behavior begins before the argument has time to develop.</w:t>
      </w:r>
    </w:p>
    <w:p>
      <w:pPr>
        <w:spacing w:after="160" w:before="160" w:line="320"/>
      </w:pPr>
      <w:r>
        <w:rPr>
          <w:rFonts w:ascii="Georgia" w:cs="Georgia" w:eastAsia="Georgia" w:hAnsi="Georgia"/>
          <w:sz w:val="24"/>
          <w:szCs w:val="24"/>
        </w:rPr>
        <w:t xml:space="preserve">One repetition is not sufficient to establish that automation. But Day 4 is not about completing the habit formation. It is about depositing the second data point in a pattern that will, over the coming days of this program, accumulate into something that runs without effort.</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Phillippa Lally at University College London conducted a study tracking 96 participants over 12 weeks as they attempted to establish new health habits. The popular claim that habits form in 21 days was not supported. The actual range for automaticity varied from 18 to 254 days, with a median of around 66 days. The critical factor was not speed of formation, but consistency: missing one occasion did not significantly disrupt habit formation, but repeated breaks did. The implication for Day 4 is clear: what matters is not how quickly the Momentum Switch becomes automatic, but that you perform it again today, after performing it yesterday.</w:t>
      </w:r>
    </w:p>
    <w:p>
      <w:pPr>
        <w:pStyle w:val="Heading3"/>
        <w:spacing w:after="160" w:before="320"/>
      </w:pPr>
      <w:r>
        <w:rPr>
          <w:rFonts w:ascii="Georgia" w:cs="Georgia" w:eastAsia="Georgia" w:hAnsi="Georgia"/>
          <w:b/>
          <w:bCs/>
          <w:color w:val="2A2A2A"/>
          <w:sz w:val="26"/>
          <w:szCs w:val="26"/>
        </w:rPr>
        <w:t xml:space="preserve">The “Different Start” Principle</w:t>
      </w:r>
    </w:p>
    <w:p>
      <w:pPr>
        <w:spacing w:after="160" w:before="160" w:line="320"/>
      </w:pPr>
      <w:r>
        <w:rPr>
          <w:rFonts w:ascii="Georgia" w:cs="Georgia" w:eastAsia="Georgia" w:hAnsi="Georgia"/>
          <w:sz w:val="24"/>
          <w:szCs w:val="24"/>
        </w:rPr>
        <w:t xml:space="preserve">The instruction to use a different entry point on Day 4 is not arbitrary. It prevents a specific trap that emerges when people have made a small start on something: the tendency to treat yesterday’s progress as a prerequisite for today’s start.</w:t>
      </w:r>
    </w:p>
    <w:p>
      <w:pPr>
        <w:spacing w:after="160" w:before="160" w:line="320"/>
      </w:pPr>
      <w:r>
        <w:rPr>
          <w:rFonts w:ascii="Georgia" w:cs="Georgia" w:eastAsia="Georgia" w:hAnsi="Georgia"/>
          <w:sz w:val="24"/>
          <w:szCs w:val="24"/>
        </w:rPr>
        <w:t xml:space="preserve">Here is how the trap works: you did ten minutes yesterday. You left the task at a specific point. Today, your brain argues that you need to review what you did yesterday before you can continue — to reconnect with the thread, to make sure the work still holds up, to re-enter the task at the exact point you left. This review consumes the ten minutes and produces no new material. You have, in effect, replaced the Momentum Switch with a new version of preparation disguised as progress.</w:t>
      </w:r>
    </w:p>
    <w:p>
      <w:pPr>
        <w:spacing w:after="160" w:before="160" w:line="320"/>
      </w:pPr>
      <w:r>
        <w:rPr>
          <w:rFonts w:ascii="Georgia" w:cs="Georgia" w:eastAsia="Georgia" w:hAnsi="Georgia"/>
          <w:sz w:val="24"/>
          <w:szCs w:val="24"/>
        </w:rPr>
        <w:t xml:space="preserve">Starting at a different point breaks this pattern. If yesterday you wrote the opening two sentences, today you move to a section in the middle. If yesterday you studied the first page of notes, today you move to a section you know less well. If yesterday you wiped one surface, today you address a different part of the space entirely. The task is the same. The entry point is different. This prevents the previous start from becoming a gatekeeper to today’s start.</w:t>
      </w:r>
    </w:p>
    <w:p>
      <w:pPr>
        <w:pStyle w:val="Heading3"/>
        <w:spacing w:after="160" w:before="320"/>
      </w:pPr>
      <w:r>
        <w:rPr>
          <w:rFonts w:ascii="Georgia" w:cs="Georgia" w:eastAsia="Georgia" w:hAnsi="Georgia"/>
          <w:b/>
          <w:bCs/>
          <w:color w:val="2A2A2A"/>
          <w:sz w:val="26"/>
          <w:szCs w:val="26"/>
        </w:rPr>
        <w:t xml:space="preserve">Derek’s Second Day: The Bar Trap</w:t>
      </w:r>
    </w:p>
    <w:p>
      <w:pPr>
        <w:spacing w:after="160" w:before="160" w:line="320"/>
      </w:pPr>
      <w:r>
        <w:rPr>
          <w:rFonts w:ascii="Georgia" w:cs="Georgia" w:eastAsia="Georgia" w:hAnsi="Georgia"/>
          <w:sz w:val="24"/>
          <w:szCs w:val="24"/>
        </w:rPr>
        <w:t xml:space="preserve">Derek’s second run of the Momentum Switch was, by his own account, harder than the first. This is common and worth examining, because understanding why it gets harder before it gets easier is what makes people persist through it.</w:t>
      </w:r>
    </w:p>
    <w:p>
      <w:pPr>
        <w:spacing w:after="160" w:before="160" w:line="320"/>
      </w:pPr>
      <w:r>
        <w:rPr>
          <w:rFonts w:ascii="Georgia" w:cs="Georgia" w:eastAsia="Georgia" w:hAnsi="Georgia"/>
          <w:sz w:val="24"/>
          <w:szCs w:val="24"/>
        </w:rPr>
        <w:t xml:space="preserve">The difficulty arose from a specific cognitive shift: he had progress. Two hundred words existed. And his brain, registering those two hundred words as evidence of capability, immediately tried to raise the standard for what today’s session should produce. Yesterday’s output was forgivable because it was a beginning. Today’s output had to be better, because now there was a baseline to exceed. The internal pressure increased. The threshold for starting rose. The avoidance returned, dressed now not in the clothes of “I’m not ready” but in the more sophisticated garment of “I want to do this properly.”</w:t>
      </w:r>
    </w:p>
    <w:p>
      <w:pPr>
        <w:spacing w:after="160" w:before="160" w:line="320"/>
      </w:pPr>
      <w:r>
        <w:rPr>
          <w:rFonts w:ascii="Georgia" w:cs="Georgia" w:eastAsia="Georgia" w:hAnsi="Georgia"/>
          <w:sz w:val="24"/>
          <w:szCs w:val="24"/>
        </w:rPr>
        <w:t xml:space="preserve">This is the fixed mindset trap Carol Dweck describes, appearing in a new form: performance as the standard for every output, including first drafts of second sessions. Derek recognized the pattern — having experienced it before in his previous chapter work — and responded by going smaller rather than larger. He did not try to fix the whole outline. He picked one paragraph and rewrote only that. Ten minutes. One paragraph. No more.</w:t>
      </w:r>
    </w:p>
    <w:p>
      <w:pPr>
        <w:spacing w:after="160" w:before="160" w:line="320"/>
      </w:pPr>
      <w:r>
        <w:rPr>
          <w:rFonts w:ascii="Georgia" w:cs="Georgia" w:eastAsia="Georgia" w:hAnsi="Georgia"/>
          <w:sz w:val="24"/>
          <w:szCs w:val="24"/>
        </w:rPr>
        <w:t xml:space="preserve">The result was identical in structure to Day 3: a small, real piece of progress that changed his emotional relationship with the task. And something else happened that he had not expected: once he had rewritten that paragraph, he found the next section obvious. The momentum of improvement is similar to the momentum of beginning. Each completed action generates information that makes the following action clearer.</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“Small wins are a steady application of a small advantage. Once a small win has been accomplished, forces are set in motion that favor another small win.”</w:t>
      </w:r>
      <w:r>
        <w:rPr>
          <w:rFonts w:ascii="Georgia" w:cs="Georgia" w:eastAsia="Georgia" w:hAnsi="Georgia"/>
          <w:color w:val="666666"/>
          <w:sz w:val="22"/>
          <w:szCs w:val="22"/>
        </w:rPr>
        <w:br/>
        <w:t xml:space="preserve">  — Karl Weick, organizational psychologist</w:t>
      </w:r>
    </w:p>
    <w:p>
      <w:pPr>
        <w:spacing w:after="160" w:before="160" w:line="320"/>
      </w:pPr>
      <w:r>
        <w:rPr>
          <w:rFonts w:ascii="Georgia" w:cs="Georgia" w:eastAsia="Georgia" w:hAnsi="Georgia"/>
          <w:sz w:val="24"/>
          <w:szCs w:val="24"/>
        </w:rPr>
        <w:t xml:space="preserve">Karl Weick at the University of Michigan, writing about organizational change and problem-solving, coined the phrase “small wins” to describe this phenomenon. He observed that large, complex problems are most effectively addressed not through grand interventions but through a series of small, concrete accomplishments that create visible momentum and generate new information about what is possible. Each small win redefines the problem slightly, making the next action clearer and less threatening. This is precisely the structure of Days 3 and 4: two small wins on the same task, each one changing what the task looks like from the inside.</w:t>
      </w:r>
    </w:p>
    <w:p>
      <w:pPr>
        <w:pStyle w:val="Heading3"/>
        <w:spacing w:after="160" w:before="320"/>
      </w:pPr>
      <w:r>
        <w:rPr>
          <w:rFonts w:ascii="Georgia" w:cs="Georgia" w:eastAsia="Georgia" w:hAnsi="Georgia"/>
          <w:b/>
          <w:bCs/>
          <w:color w:val="2A2A2A"/>
          <w:sz w:val="26"/>
          <w:szCs w:val="26"/>
        </w:rPr>
        <w:t xml:space="preserve">When Day 4 Feels Like Going Backwards</w:t>
      </w:r>
    </w:p>
    <w:p>
      <w:pPr>
        <w:spacing w:after="160" w:before="160" w:line="320"/>
      </w:pPr>
      <w:r>
        <w:rPr>
          <w:rFonts w:ascii="Georgia" w:cs="Georgia" w:eastAsia="Georgia" w:hAnsi="Georgia"/>
          <w:sz w:val="24"/>
          <w:szCs w:val="24"/>
        </w:rPr>
        <w:t xml:space="preserve">Not everyone finds Day 4 straightforward. For some people, the second run of the Momentum Switch activates a different kind of resistance: the feeling that the first session should have been enough, that still being stuck signals something wrong with them specifically. This is worth addressing directly.</w:t>
      </w:r>
    </w:p>
    <w:p>
      <w:pPr>
        <w:spacing w:after="160" w:before="160" w:line="320"/>
      </w:pPr>
      <w:r>
        <w:rPr>
          <w:rFonts w:ascii="Georgia" w:cs="Georgia" w:eastAsia="Georgia" w:hAnsi="Georgia"/>
          <w:sz w:val="24"/>
          <w:szCs w:val="24"/>
        </w:rPr>
        <w:t xml:space="preserve">Psychologist Kristin Neff at the University of Texas, whose research on self-compassion has produced one of the most practically useful bodies of work in contemporary psychology, identifies a specific pattern she calls “self-criticism as motivation.” Many high-achieving people believe, usually unconsciously, that being hard on themselves is what produces results — that if they stop the internal pressure, performance will collapse. Neff’s research consistently finds the opposite: self-criticism increases avoidance and decreases persistence, while self-compassion — treating yourself with the same understanding you would offer a friend in the same situation — increases both.</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Neff, K. D., &amp; Vonk, R. (2009). Self-compassion versus global self-esteem: Two different ways of relating to oneself. Journal of Personality, 77(1), 23–50. This study, and Neff’s broader research program, found that self-compassion was a stronger predictor of emotional resilience and motivation than self-esteem. Where high self-esteem requires constant positive evaluation of the self, self-compassion involves accepting difficulty and imperfection as part of the human experience — which, counterintuitively, produces more stable and effective motivation than self-criticism.</w:t>
      </w:r>
    </w:p>
    <w:p>
      <w:pPr>
        <w:spacing w:after="160" w:before="160" w:line="320"/>
      </w:pPr>
      <w:r>
        <w:rPr>
          <w:rFonts w:ascii="Georgia" w:cs="Georgia" w:eastAsia="Georgia" w:hAnsi="Georgia"/>
          <w:sz w:val="24"/>
          <w:szCs w:val="24"/>
        </w:rPr>
        <w:t xml:space="preserve">If Day 4 feels harder than Day 3, that is not a signal that the approach is not working. It is a signal that the habit is being formed under the real conditions of real life, where the second attempt is always harder than the first because the novelty has worn off and the discomfort is now familiar rather than fresh. Persistence through the familiar discomfort is exactly what builds the automatic response. Go smaller if you need to. Do five minutes instead of ten. Do one sentence instead of a paragraph. But do it.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What You Are Really Building: Identity Through Action</w:t>
      </w:r>
    </w:p>
    <w:p>
      <w:pPr>
        <w:spacing w:after="160" w:before="160" w:line="320"/>
      </w:pPr>
      <w:r>
        <w:rPr>
          <w:rFonts w:ascii="Georgia" w:cs="Georgia" w:eastAsia="Georgia" w:hAnsi="Georgia"/>
          <w:sz w:val="24"/>
          <w:szCs w:val="24"/>
        </w:rPr>
        <w:t xml:space="preserve">Across Days 3 and 4, something is happening that extends beyond the specific task you are working on. You are accumulating evidence for a new self-narrative.</w:t>
      </w:r>
    </w:p>
    <w:p>
      <w:pPr>
        <w:spacing w:after="160" w:before="160" w:line="320"/>
      </w:pPr>
      <w:r>
        <w:rPr>
          <w:rFonts w:ascii="Georgia" w:cs="Georgia" w:eastAsia="Georgia" w:hAnsi="Georgia"/>
          <w:sz w:val="24"/>
          <w:szCs w:val="24"/>
        </w:rPr>
        <w:t xml:space="preserve">James Clear, in ‘Atomic Habits’ (2018), builds on the work of identity theorists to argue that the most durable behavior change is not driven by goals — “I want to write a book” — but by identity — “I am someone who writes.” Goals describe outcomes. Identity describes the kind of person you are becoming through the actions you take. Every time you use the Momentum Switch, you cast a vote, in Clear’s framing, for the identity of someone who starts things. Not someone who is always motivated. Not someone who always performs perfectly. Someone who starts, even when it is uncomfortable.</w:t>
      </w:r>
    </w:p>
    <w:p>
      <w:pPr>
        <w:spacing w:after="160" w:before="160" w:line="320"/>
      </w:pPr>
      <w:r>
        <w:rPr>
          <w:rFonts w:ascii="Georgia" w:cs="Georgia" w:eastAsia="Georgia" w:hAnsi="Georgia"/>
          <w:sz w:val="24"/>
          <w:szCs w:val="24"/>
        </w:rPr>
        <w:t xml:space="preserve">This reframing is not merely motivational. It is psychologically grounded in research on self-concept and behavior. Studies by William Swann at the University of Texas on self-verification theory found that people consistently behave in ways that confirm their existing self-concept, even when that concept is negative. If you believe yourself to be a procrastinator, you will tend to procrastinate — not because you want to, but because the behavior confirms the identity and identities feel stable even when they are painful.</w:t>
      </w:r>
    </w:p>
    <w:p>
      <w:pPr>
        <w:spacing w:after="160" w:before="160" w:line="320"/>
      </w:pPr>
      <w:r>
        <w:rPr>
          <w:rFonts w:ascii="Georgia" w:cs="Georgia" w:eastAsia="Georgia" w:hAnsi="Georgia"/>
          <w:sz w:val="24"/>
          <w:szCs w:val="24"/>
        </w:rPr>
        <w:t xml:space="preserve">The reverse is also true. When you act in ways that are inconsistent with the old identity — when you start despite resistance, when you use the switch despite not feeling ready — you create a small piece of disconfirming evidence. Over time, the weight of that evidence shifts the self-concept. The person who used to call themselves a procrastinator starts to call themselves someone who struggles to start but starts anyway. That is a different identity, and it produces different behavior.</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“Every action you take is a vote for the type of person you wish to become. No single instance will transform your beliefs, but as the votes accumulate, so does the evidence of your new identity.”</w:t>
      </w:r>
      <w:r>
        <w:rPr>
          <w:rFonts w:ascii="Georgia" w:cs="Georgia" w:eastAsia="Georgia" w:hAnsi="Georgia"/>
          <w:color w:val="666666"/>
          <w:sz w:val="22"/>
          <w:szCs w:val="22"/>
        </w:rPr>
        <w:br/>
        <w:t xml:space="preserve">  — James Clear, Atomic Habits</w:t>
      </w:r>
    </w:p>
    <w:p>
      <w:pPr>
        <w:spacing w:after="160" w:before="160" w:line="320"/>
      </w:pPr>
      <w:r>
        <w:rPr>
          <w:rFonts w:ascii="Georgia" w:cs="Georgia" w:eastAsia="Georgia" w:hAnsi="Georgia"/>
          <w:sz w:val="24"/>
          <w:szCs w:val="24"/>
        </w:rPr>
        <w:t xml:space="preserve">Days 3 and 4 are two votes. They will not transform you. They will begin to accumulate. Keep that in mind as you move through the rest of this program: the individual sessions are less important than their sum. Each one is a small, real piece of evidence that you are the kind of person who moves.</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Before You Move to Day 5</w:t>
      </w:r>
    </w:p>
    <w:p>
      <w:pPr>
        <w:spacing w:after="160" w:before="160" w:line="320"/>
      </w:pPr>
      <w:r>
        <w:rPr>
          <w:rFonts w:ascii="Georgia" w:cs="Georgia" w:eastAsia="Georgia" w:hAnsi="Georgia"/>
          <w:sz w:val="24"/>
          <w:szCs w:val="24"/>
        </w:rPr>
        <w:t xml:space="preserve">Tonight, after Day 4, sit with one question — and this time, write a single honest sentence in response:</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“What did I discover about the task by doing it that I could not have discovered by thinking about it?”</w:t>
      </w:r>
    </w:p>
    <w:p>
      <w:pPr>
        <w:spacing w:after="160" w:before="160" w:line="320"/>
      </w:pPr>
      <w:r>
        <w:rPr>
          <w:rFonts w:ascii="Georgia" w:cs="Georgia" w:eastAsia="Georgia" w:hAnsi="Georgia"/>
          <w:sz w:val="24"/>
          <w:szCs w:val="24"/>
        </w:rPr>
        <w:t xml:space="preserve">This question is important because it begins to shift your epistemology — the way you think about how you know things. Overthinkers tend to believe that understanding precedes action: you understand the task, and then you do it. The Momentum Switch is proving, through direct experience, that action precedes understanding: you do the task, and you discover what it actually is. The gap between your mental model of the task and its actual nature almost always closes in favor of the task being more manageable than you expected. That discovery, made twice now, is data worth recording.</w:t>
      </w:r>
    </w:p>
    <w:p>
      <w:pPr>
        <w:spacing w:after="160" w:before="160" w:line="320"/>
      </w:pPr>
      <w:r>
        <w:rPr>
          <w:rFonts w:ascii="Georgia" w:cs="Georgia" w:eastAsia="Georgia" w:hAnsi="Georgia"/>
          <w:sz w:val="24"/>
          <w:szCs w:val="24"/>
        </w:rPr>
        <w:t xml:space="preserve">Tomorrow, Days 5 and 6 will introduce the problem that most reliably sabotages the momentum you have built in these first four days: distraction. Not the dramatic, obvious kind — not someone pulling you away from your desk. The quiet kind. The self-directed kind. The distraction you reach for because the task is uncomfortable and something easier is always one click away. The reset is strongest when you have stopped feeding what competes with it. That is what we address next.</w:t>
      </w:r>
    </w:p>
    <w:p>
      <w:pPr>
        <w:spacing w:after="160" w:before="160" w:line="320"/>
      </w:pPr>
      <w:r>
        <w:rPr>
          <w:rFonts w:ascii="Georgia" w:cs="Georgia" w:eastAsia="Georgia" w:hAnsi="Georgia"/>
          <w:sz w:val="24"/>
          <w:szCs w:val="24"/>
        </w:rPr>
        <w:t xml:space="preserve">You have moved, twice, when your brain told you not to. That is two votes. They count.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Sources &amp; Further Reading</w:t>
      </w:r>
    </w:p>
    <w:p>
      <w:pPr>
        <w:spacing w:after="160" w:before="160" w:line="320"/>
      </w:pPr>
      <w:r>
        <w:rPr>
          <w:rFonts w:ascii="Georgia" w:cs="Georgia" w:eastAsia="Georgia" w:hAnsi="Georgia"/>
          <w:sz w:val="24"/>
          <w:szCs w:val="24"/>
        </w:rPr>
        <w:t xml:space="preserve">Baumeister, R. F., Bratslavsky, E., Muraven, M., &amp; Tice, D. M. (1998). Ego depletion: Is the active self a limited resource? Journal of Personality and Social Psychology, 74(5), 1252–1265.</w:t>
      </w:r>
    </w:p>
    <w:p>
      <w:pPr>
        <w:spacing w:after="160" w:before="160" w:line="320"/>
      </w:pPr>
      <w:r>
        <w:rPr>
          <w:rFonts w:ascii="Georgia" w:cs="Georgia" w:eastAsia="Georgia" w:hAnsi="Georgia"/>
          <w:sz w:val="24"/>
          <w:szCs w:val="24"/>
        </w:rPr>
        <w:t xml:space="preserve">Buehler, R., Griffin, D., &amp; Ross, M. (1994). Exploring the “planning fallacy.” Journal of Personality and Social Psychology, 67(3), 366–381.</w:t>
      </w:r>
    </w:p>
    <w:p>
      <w:pPr>
        <w:spacing w:after="160" w:before="160" w:line="320"/>
      </w:pPr>
      <w:r>
        <w:rPr>
          <w:rFonts w:ascii="Georgia" w:cs="Georgia" w:eastAsia="Georgia" w:hAnsi="Georgia"/>
          <w:sz w:val="24"/>
          <w:szCs w:val="24"/>
        </w:rPr>
        <w:t xml:space="preserve">Clear, J. (2018). Atomic Habits. Avery/Penguin Random House.</w:t>
      </w:r>
    </w:p>
    <w:p>
      <w:pPr>
        <w:spacing w:after="160" w:before="160" w:line="320"/>
      </w:pPr>
      <w:r>
        <w:rPr>
          <w:rFonts w:ascii="Georgia" w:cs="Georgia" w:eastAsia="Georgia" w:hAnsi="Georgia"/>
          <w:sz w:val="24"/>
          <w:szCs w:val="24"/>
        </w:rPr>
        <w:t xml:space="preserve">Csikszentmihalyi, M. (1990). Flow: The Psychology of Optimal Experience. Harper &amp; Row.</w:t>
      </w:r>
    </w:p>
    <w:p>
      <w:pPr>
        <w:spacing w:after="160" w:before="160" w:line="320"/>
      </w:pPr>
      <w:r>
        <w:rPr>
          <w:rFonts w:ascii="Georgia" w:cs="Georgia" w:eastAsia="Georgia" w:hAnsi="Georgia"/>
          <w:sz w:val="24"/>
          <w:szCs w:val="24"/>
        </w:rPr>
        <w:t xml:space="preserve">Duhigg, C. (2012). The Power of Habit. Random House.</w:t>
      </w:r>
    </w:p>
    <w:p>
      <w:pPr>
        <w:spacing w:after="160" w:before="160" w:line="320"/>
      </w:pPr>
      <w:r>
        <w:rPr>
          <w:rFonts w:ascii="Georgia" w:cs="Georgia" w:eastAsia="Georgia" w:hAnsi="Georgia"/>
          <w:sz w:val="24"/>
          <w:szCs w:val="24"/>
        </w:rPr>
        <w:t xml:space="preserve">Dweck, C. S. (2006). Mindset: The New Psychology of Success. Random House.</w:t>
      </w:r>
    </w:p>
    <w:p>
      <w:pPr>
        <w:spacing w:after="160" w:before="160" w:line="320"/>
      </w:pPr>
      <w:r>
        <w:rPr>
          <w:rFonts w:ascii="Georgia" w:cs="Georgia" w:eastAsia="Georgia" w:hAnsi="Georgia"/>
          <w:sz w:val="24"/>
          <w:szCs w:val="24"/>
        </w:rPr>
        <w:t xml:space="preserve">Graybiel, A. M. (2008). Habits, rituals, and the evaluative brain. Annual Review of Neuroscience, 31, 359–387.</w:t>
      </w:r>
    </w:p>
    <w:p>
      <w:pPr>
        <w:spacing w:after="160" w:before="160" w:line="320"/>
      </w:pPr>
      <w:r>
        <w:rPr>
          <w:rFonts w:ascii="Georgia" w:cs="Georgia" w:eastAsia="Georgia" w:hAnsi="Georgia"/>
          <w:sz w:val="24"/>
          <w:szCs w:val="24"/>
        </w:rPr>
        <w:t xml:space="preserve">Kahneman, D., &amp; Tversky, A. (1979). Intuitive prediction: Biases and corrective procedures. Management Science, 12, 313–327.</w:t>
      </w:r>
    </w:p>
    <w:p>
      <w:pPr>
        <w:spacing w:after="160" w:before="160" w:line="320"/>
      </w:pPr>
      <w:r>
        <w:rPr>
          <w:rFonts w:ascii="Georgia" w:cs="Georgia" w:eastAsia="Georgia" w:hAnsi="Georgia"/>
          <w:sz w:val="24"/>
          <w:szCs w:val="24"/>
        </w:rPr>
        <w:t xml:space="preserve">Lally, P., van Jaarsveld, C. H. M., Potts, H. W. W., &amp; Wardle, J. (2010). How are habits formed? European Journal of Social Psychology, 40(6), 998–1009.</w:t>
      </w:r>
    </w:p>
    <w:p>
      <w:pPr>
        <w:spacing w:after="160" w:before="160" w:line="320"/>
      </w:pPr>
      <w:r>
        <w:rPr>
          <w:rFonts w:ascii="Georgia" w:cs="Georgia" w:eastAsia="Georgia" w:hAnsi="Georgia"/>
          <w:sz w:val="24"/>
          <w:szCs w:val="24"/>
        </w:rPr>
        <w:t xml:space="preserve">Neff, K. D., &amp; Vonk, R. (2009). Self-compassion versus global self-esteem. Journal of Personality, 77(1), 23–50.</w:t>
      </w:r>
    </w:p>
    <w:p>
      <w:pPr>
        <w:spacing w:after="160" w:before="160" w:line="320"/>
      </w:pPr>
      <w:r>
        <w:rPr>
          <w:rFonts w:ascii="Georgia" w:cs="Georgia" w:eastAsia="Georgia" w:hAnsi="Georgia"/>
          <w:sz w:val="24"/>
          <w:szCs w:val="24"/>
        </w:rPr>
        <w:t xml:space="preserve">Ovsiankina, M. (1928). Die Wiederaufnahme unterbrochener Handlungen. Psychologische Forschung, 11, 302–379.</w:t>
      </w:r>
    </w:p>
    <w:p>
      <w:pPr>
        <w:spacing w:after="160" w:before="160" w:line="320"/>
      </w:pPr>
      <w:r>
        <w:rPr>
          <w:rFonts w:ascii="Georgia" w:cs="Georgia" w:eastAsia="Georgia" w:hAnsi="Georgia"/>
          <w:sz w:val="24"/>
          <w:szCs w:val="24"/>
        </w:rPr>
        <w:t xml:space="preserve">Sirois, F. M., &amp; Pychyl, T. A. (2016). Procrastination, health, and well-being. Academic Press.</w:t>
      </w:r>
    </w:p>
    <w:p>
      <w:pPr>
        <w:spacing w:after="160" w:before="160" w:line="320"/>
      </w:pPr>
      <w:r>
        <w:rPr>
          <w:rFonts w:ascii="Georgia" w:cs="Georgia" w:eastAsia="Georgia" w:hAnsi="Georgia"/>
          <w:sz w:val="24"/>
          <w:szCs w:val="24"/>
        </w:rPr>
        <w:t xml:space="preserve">Steel, P. (2011). The Procrastination Equation. Harper Collins.</w:t>
      </w:r>
    </w:p>
    <w:p>
      <w:pPr>
        <w:spacing w:after="160" w:before="160" w:line="320"/>
      </w:pPr>
      <w:r>
        <w:rPr>
          <w:rFonts w:ascii="Georgia" w:cs="Georgia" w:eastAsia="Georgia" w:hAnsi="Georgia"/>
          <w:sz w:val="24"/>
          <w:szCs w:val="24"/>
        </w:rPr>
        <w:t xml:space="preserve">Swann, W. B., Jr. (1983). Self-verification: Bringing social reality into harmony with the self. In J. Suls &amp; A. G. Greenwald (Eds.), Social Psychological Perspectives on the Self (Vol. 2). Erlbaum.</w:t>
      </w:r>
    </w:p>
    <w:p>
      <w:pPr>
        <w:spacing w:after="160" w:before="160" w:line="320"/>
      </w:pPr>
      <w:r>
        <w:rPr>
          <w:rFonts w:ascii="Georgia" w:cs="Georgia" w:eastAsia="Georgia" w:hAnsi="Georgia"/>
          <w:sz w:val="24"/>
          <w:szCs w:val="24"/>
        </w:rPr>
        <w:t xml:space="preserve">Weick, K. E. (1984). Small wins: Redefining the scale of social problems. American Psychologist, 39(1), 40–49.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Georgia" w:cs="Georgia" w:eastAsia="Georgia" w:hAnsi="Georgia"/>
      <w:b/>
      <w:bCs/>
      <w:color w:val="111111"/>
      <w:sz w:val="44"/>
      <w:szCs w:val="44"/>
    </w:rPr>
  </w:style>
  <w:style w:type="paragraph" w:styleId="Heading2">
    <w:name w:val="Heading 2"/>
    <w:basedOn w:val="Normal"/>
    <w:next w:val="Normal"/>
    <w:qFormat/>
    <w:pPr>
      <w:spacing w:after="200" w:before="44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60" w:before="32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2026-04-05T10:51:12.170Z</dcterms:created>
  <dcterms:modified xsi:type="dcterms:W3CDTF">2026-04-05T10:51:12.171Z</dcterms:modified>
</cp:coreProperties>
</file>

<file path=docProps/custom.xml><?xml version="1.0" encoding="utf-8"?>
<Properties xmlns="http://schemas.openxmlformats.org/officeDocument/2006/custom-properties" xmlns:vt="http://schemas.openxmlformats.org/officeDocument/2006/docPropsVTypes"/>
</file>