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87436D">
      <w:pPr>
        <w:pStyle w:val="Heading1"/>
        <w:jc w:val="both"/>
        <w:rPr>
          <w:rFonts w:eastAsia="Aptos Display"/>
        </w:rPr>
      </w:pPr>
      <w:bookmarkStart w:id="0" w:name="_Hlk185770743"/>
      <w:bookmarkEnd w:id="0"/>
      <w:r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6C574436" w:rsidR="00462501" w:rsidRPr="00462501" w:rsidRDefault="00627AEF" w:rsidP="00462501">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77777777" w:rsidR="00202938" w:rsidRDefault="00202938" w:rsidP="0087436D">
      <w:pPr>
        <w:jc w:val="both"/>
      </w:pPr>
    </w:p>
    <w:p w14:paraId="24913FDC" w14:textId="164D8303" w:rsidR="00462501" w:rsidRDefault="00462501" w:rsidP="00462501">
      <w:pPr>
        <w:pStyle w:val="Heading1"/>
      </w:pPr>
      <w:r>
        <w:lastRenderedPageBreak/>
        <w:t>Visua</w:t>
      </w:r>
      <w:r w:rsidR="0049165D">
        <w:t>lisation</w:t>
      </w:r>
    </w:p>
    <w:p w14:paraId="5FF95D71" w14:textId="6A81396F"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E131B">
      <w:pPr>
        <w:pStyle w:val="Caption"/>
      </w:pPr>
      <w:r>
        <w:t xml:space="preserve">                   </w:t>
      </w:r>
      <w:r w:rsidR="0066404C">
        <w:t xml:space="preserve">   </w:t>
      </w:r>
      <w:r>
        <w:t xml:space="preserve"> </w:t>
      </w:r>
      <w:r w:rsidR="000E131B">
        <w:t xml:space="preserve">Figure </w:t>
      </w:r>
      <w:r w:rsidR="0066404C">
        <w:fldChar w:fldCharType="begin"/>
      </w:r>
      <w:r w:rsidR="0066404C">
        <w:instrText xml:space="preserve"> SEQ Figure \* ARABIC </w:instrText>
      </w:r>
      <w:r w:rsidR="0066404C">
        <w:fldChar w:fldCharType="separate"/>
      </w:r>
      <w:r w:rsidR="0066404C">
        <w:rPr>
          <w:noProof/>
        </w:rPr>
        <w:t>1</w:t>
      </w:r>
      <w:r w:rsidR="0066404C">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ED1D34">
      <w:pPr>
        <w:pStyle w:val="Heading2"/>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ED1D34">
      <w:r>
        <w:rPr>
          <w:noProof/>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66404C">
      <w:pPr>
        <w:pStyle w:val="Caption"/>
      </w:pPr>
      <w:r>
        <w:t xml:space="preserve">               Figure </w:t>
      </w:r>
      <w:r>
        <w:fldChar w:fldCharType="begin"/>
      </w:r>
      <w:r>
        <w:instrText xml:space="preserve"> SEQ Figure \* ARABIC </w:instrText>
      </w:r>
      <w:r>
        <w:fldChar w:fldCharType="separate"/>
      </w:r>
      <w:r>
        <w:rPr>
          <w:noProof/>
        </w:rPr>
        <w:t>2</w:t>
      </w:r>
      <w:r>
        <w:rPr>
          <w:noProof/>
        </w:rPr>
        <w:fldChar w:fldCharType="end"/>
      </w:r>
      <w:r w:rsidR="006E4D2E">
        <w:t xml:space="preserve"> </w:t>
      </w:r>
      <w:r>
        <w:t>(histogram with bell curve on top of dependent variable)</w:t>
      </w:r>
    </w:p>
    <w:p w14:paraId="07703C04" w14:textId="5143AE8B" w:rsidR="006E4D2E" w:rsidRDefault="00F27974" w:rsidP="007D6A71">
      <w:pPr>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F010E5">
      <w:pPr>
        <w:pStyle w:val="Heading2"/>
      </w:pPr>
      <w:r>
        <w:t>3.3. Useful</w:t>
      </w:r>
      <w:r w:rsidR="003F4406">
        <w:t xml:space="preserve"> information for the data understanding </w:t>
      </w:r>
    </w:p>
    <w:p w14:paraId="3146F972" w14:textId="77777777" w:rsidR="00965676" w:rsidRPr="006D711D" w:rsidRDefault="00965676" w:rsidP="00965676">
      <w:pPr>
        <w:spacing w:line="259" w:lineRule="auto"/>
        <w:jc w:val="both"/>
        <w:rPr>
          <w:rFonts w:ascii="Times New Roman" w:eastAsia="Times New Roman" w:hAnsi="Times New Roman" w:cs="Times New Roman"/>
          <w:sz w:val="22"/>
          <w:szCs w:val="22"/>
        </w:rPr>
      </w:pPr>
    </w:p>
    <w:p w14:paraId="3772E0CA" w14:textId="77777777" w:rsidR="009A3D1F" w:rsidRPr="009A3D1F" w:rsidRDefault="009A3D1F" w:rsidP="009A3D1F">
      <w:pPr>
        <w:pStyle w:val="Heading1"/>
        <w:rPr>
          <w:rFonts w:eastAsia="Times New Roman"/>
        </w:rPr>
      </w:pPr>
      <w:r w:rsidRPr="009A3D1F">
        <w:rPr>
          <w:rFonts w:eastAsia="Times New Roman"/>
        </w:rPr>
        <w:t>Evaluation – group’s experience at 7COM1079</w:t>
      </w:r>
    </w:p>
    <w:p w14:paraId="710670FA" w14:textId="45410D23" w:rsidR="00740CE3" w:rsidRDefault="009A3D1F" w:rsidP="00965676">
      <w:pPr>
        <w:pStyle w:val="Heading2"/>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5C6B494B" w14:textId="3264B781" w:rsidR="008D0ADE" w:rsidRDefault="005771D3" w:rsidP="008D0ADE">
      <w:pPr>
        <w:pStyle w:val="Heading2"/>
        <w:rPr>
          <w:rFonts w:eastAsia="Times New Roman"/>
        </w:rPr>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80192D">
      <w:pPr>
        <w:pStyle w:val="Heading2"/>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965676">
      <w:pPr>
        <w:pStyle w:val="Heading2"/>
      </w:pPr>
      <w:r>
        <w:t xml:space="preserve">5.4. Project’s </w:t>
      </w:r>
      <w:r w:rsidR="005771D3">
        <w:t>overall</w:t>
      </w:r>
      <w:r>
        <w:t xml:space="preserve"> </w:t>
      </w:r>
      <w:r w:rsidR="005771D3">
        <w:t>j</w:t>
      </w:r>
      <w:r>
        <w:t>udgement</w:t>
      </w:r>
    </w:p>
    <w:p w14:paraId="409DAA36" w14:textId="77777777" w:rsidR="00965676" w:rsidRDefault="00965676" w:rsidP="007D6A71">
      <w:pPr>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Pr="007D6A71" w:rsidRDefault="009633C2" w:rsidP="009633C2">
      <w:pPr>
        <w:pStyle w:val="Heading2"/>
        <w:rPr>
          <w:rFonts w:eastAsia="Times New Roman"/>
        </w:rPr>
      </w:pPr>
      <w:r>
        <w:rPr>
          <w:rFonts w:eastAsia="Times New Roman"/>
        </w:rPr>
        <w:t>5.5.</w:t>
      </w:r>
      <w:r w:rsidRPr="4ABDCFE3">
        <w:rPr>
          <w:rFonts w:eastAsia="Times New Roman"/>
        </w:rPr>
        <w:t xml:space="preserve"> Comment</w:t>
      </w:r>
      <w:r w:rsidRPr="4ABDCFE3">
        <w:rPr>
          <w:rFonts w:eastAsia="Times New Roman"/>
        </w:rPr>
        <w:t xml:space="preserve"> on the GitHub log output</w:t>
      </w:r>
    </w:p>
    <w:p w14:paraId="1BAF5B1C" w14:textId="77777777" w:rsidR="00965676" w:rsidRPr="00965676" w:rsidRDefault="00965676" w:rsidP="00965676"/>
    <w:p w14:paraId="5954C51C" w14:textId="77777777" w:rsidR="003F4406" w:rsidRPr="003F4406" w:rsidRDefault="003F4406" w:rsidP="003F4406"/>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796C8155" w:rsidR="00B52D2C" w:rsidRDefault="00B52D2C">
          <w:pPr>
            <w:pStyle w:val="Heading1"/>
          </w:pPr>
          <w:r>
            <w:t>Bibliography</w:t>
          </w:r>
        </w:p>
        <w:sdt>
          <w:sdtPr>
            <w:id w:val="111145805"/>
            <w:bibliography/>
          </w:sdt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B52D2C">
          <w:pPr>
            <w:pStyle w:val="Heading1"/>
            <w:jc w:val="both"/>
          </w:pPr>
        </w:p>
        <w:p w14:paraId="7BE475B8" w14:textId="0C278382" w:rsidR="0087436D" w:rsidRDefault="00000000"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87436D">
          <w:pPr>
            <w:pStyle w:val="Heading1"/>
            <w:jc w:val="both"/>
          </w:pPr>
        </w:p>
        <w:p w14:paraId="772C0F40" w14:textId="73FE627D" w:rsidR="00852D68" w:rsidRDefault="00000000"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233B721A" w14:textId="77777777" w:rsidR="00C91A54" w:rsidRPr="006D711D" w:rsidRDefault="00C91A54" w:rsidP="0087436D">
      <w:pPr>
        <w:spacing w:line="259"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40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167DB"/>
    <w:rsid w:val="00017939"/>
    <w:rsid w:val="00026043"/>
    <w:rsid w:val="0004027C"/>
    <w:rsid w:val="00042990"/>
    <w:rsid w:val="00052DBE"/>
    <w:rsid w:val="00060665"/>
    <w:rsid w:val="00074055"/>
    <w:rsid w:val="000A0E20"/>
    <w:rsid w:val="000E131B"/>
    <w:rsid w:val="000E4D3B"/>
    <w:rsid w:val="00121FC4"/>
    <w:rsid w:val="00137656"/>
    <w:rsid w:val="001723F3"/>
    <w:rsid w:val="001764E1"/>
    <w:rsid w:val="00193797"/>
    <w:rsid w:val="00193858"/>
    <w:rsid w:val="0019799C"/>
    <w:rsid w:val="00200463"/>
    <w:rsid w:val="0020155B"/>
    <w:rsid w:val="00202938"/>
    <w:rsid w:val="002356CD"/>
    <w:rsid w:val="00241091"/>
    <w:rsid w:val="0024459A"/>
    <w:rsid w:val="00246239"/>
    <w:rsid w:val="00255A18"/>
    <w:rsid w:val="00297851"/>
    <w:rsid w:val="002A7B88"/>
    <w:rsid w:val="002B3283"/>
    <w:rsid w:val="002B6495"/>
    <w:rsid w:val="002C39EC"/>
    <w:rsid w:val="002E70F0"/>
    <w:rsid w:val="002F2357"/>
    <w:rsid w:val="00305F29"/>
    <w:rsid w:val="003457E4"/>
    <w:rsid w:val="003734C0"/>
    <w:rsid w:val="00397FFE"/>
    <w:rsid w:val="003C2E83"/>
    <w:rsid w:val="003F4406"/>
    <w:rsid w:val="00437971"/>
    <w:rsid w:val="00453DAD"/>
    <w:rsid w:val="00462501"/>
    <w:rsid w:val="00470488"/>
    <w:rsid w:val="0049165D"/>
    <w:rsid w:val="00495BFE"/>
    <w:rsid w:val="004A5AA1"/>
    <w:rsid w:val="004E5405"/>
    <w:rsid w:val="005771D3"/>
    <w:rsid w:val="0060093E"/>
    <w:rsid w:val="00620C80"/>
    <w:rsid w:val="00627AEF"/>
    <w:rsid w:val="0066404C"/>
    <w:rsid w:val="006843EB"/>
    <w:rsid w:val="00695095"/>
    <w:rsid w:val="006A6DC3"/>
    <w:rsid w:val="006B7CD8"/>
    <w:rsid w:val="006C6AC4"/>
    <w:rsid w:val="006D288B"/>
    <w:rsid w:val="006D3007"/>
    <w:rsid w:val="006D711D"/>
    <w:rsid w:val="006E4511"/>
    <w:rsid w:val="006E4D2E"/>
    <w:rsid w:val="007112A1"/>
    <w:rsid w:val="00715AE6"/>
    <w:rsid w:val="00740CE3"/>
    <w:rsid w:val="007729EA"/>
    <w:rsid w:val="007907F3"/>
    <w:rsid w:val="007D6A71"/>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54F6B"/>
    <w:rsid w:val="009633C2"/>
    <w:rsid w:val="00965676"/>
    <w:rsid w:val="0098617A"/>
    <w:rsid w:val="009A3D1F"/>
    <w:rsid w:val="009C1EE4"/>
    <w:rsid w:val="009F31F1"/>
    <w:rsid w:val="009F37C3"/>
    <w:rsid w:val="009F5809"/>
    <w:rsid w:val="00A320BC"/>
    <w:rsid w:val="00A86FB7"/>
    <w:rsid w:val="00AA0D16"/>
    <w:rsid w:val="00AB06BB"/>
    <w:rsid w:val="00AF03A6"/>
    <w:rsid w:val="00B01C7B"/>
    <w:rsid w:val="00B31CF5"/>
    <w:rsid w:val="00B52D2C"/>
    <w:rsid w:val="00B568F1"/>
    <w:rsid w:val="00B73C78"/>
    <w:rsid w:val="00BB0E3C"/>
    <w:rsid w:val="00BB77FC"/>
    <w:rsid w:val="00BC7A22"/>
    <w:rsid w:val="00BF2DDD"/>
    <w:rsid w:val="00BF7C7B"/>
    <w:rsid w:val="00C03F9A"/>
    <w:rsid w:val="00C53AF2"/>
    <w:rsid w:val="00C80CAA"/>
    <w:rsid w:val="00C81FB4"/>
    <w:rsid w:val="00C91A54"/>
    <w:rsid w:val="00CC10B3"/>
    <w:rsid w:val="00D04DF6"/>
    <w:rsid w:val="00D53A79"/>
    <w:rsid w:val="00D61B70"/>
    <w:rsid w:val="00D94298"/>
    <w:rsid w:val="00DE5764"/>
    <w:rsid w:val="00E136A1"/>
    <w:rsid w:val="00E262F3"/>
    <w:rsid w:val="00E51179"/>
    <w:rsid w:val="00E57B73"/>
    <w:rsid w:val="00E745C2"/>
    <w:rsid w:val="00E8368F"/>
    <w:rsid w:val="00E8766A"/>
    <w:rsid w:val="00E905E8"/>
    <w:rsid w:val="00EA24E6"/>
    <w:rsid w:val="00ED1D34"/>
    <w:rsid w:val="00ED22E7"/>
    <w:rsid w:val="00ED7DBF"/>
    <w:rsid w:val="00EE2D6C"/>
    <w:rsid w:val="00EE4EDB"/>
    <w:rsid w:val="00F010E5"/>
    <w:rsid w:val="00F02961"/>
    <w:rsid w:val="00F0693C"/>
    <w:rsid w:val="00F24B89"/>
    <w:rsid w:val="00F27974"/>
    <w:rsid w:val="00F459F6"/>
    <w:rsid w:val="00FA0E0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styleId="UnresolvedMention">
    <w:name w:val="Unresolved Mention"/>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D6130CEA-1901-417E-9D71-E9755E67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132</cp:revision>
  <dcterms:created xsi:type="dcterms:W3CDTF">2024-12-19T16:40:00Z</dcterms:created>
  <dcterms:modified xsi:type="dcterms:W3CDTF">2024-12-25T14:55:00Z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