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87436D">
      <w:pPr>
        <w:pStyle w:val="Heading1"/>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462501">
      <w:pPr>
        <w:pStyle w:val="Heading1"/>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87436D">
      <w:pPr>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462501">
      <w:pPr>
        <w:pStyle w:val="Heading1"/>
      </w:pPr>
      <w:r>
        <w:lastRenderedPageBreak/>
        <w:t xml:space="preserve">3. </w:t>
      </w:r>
      <w:r w:rsidR="00462501">
        <w:t>Visua</w:t>
      </w:r>
      <w:r w:rsidR="0049165D">
        <w:t>lisation</w:t>
      </w:r>
    </w:p>
    <w:p w14:paraId="5FF95D71" w14:textId="7926BD80"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CB3388">
        <w:fldChar w:fldCharType="begin"/>
      </w:r>
      <w:r w:rsidR="00CB3388">
        <w:instrText xml:space="preserve"> SEQ Figure \* ARABIC </w:instrText>
      </w:r>
      <w:r w:rsidR="00CB3388">
        <w:fldChar w:fldCharType="separate"/>
      </w:r>
      <w:r w:rsidR="0066404C">
        <w:rPr>
          <w:noProof/>
        </w:rPr>
        <w:t>1</w:t>
      </w:r>
      <w:r w:rsidR="00CB3388">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r w:rsidR="00CB3388">
        <w:fldChar w:fldCharType="begin"/>
      </w:r>
      <w:r w:rsidR="00CB3388">
        <w:instrText xml:space="preserve"> SEQ Figure \* ARABIC </w:instrText>
      </w:r>
      <w:r w:rsidR="00CB3388">
        <w:fldChar w:fldCharType="separate"/>
      </w:r>
      <w:r>
        <w:rPr>
          <w:noProof/>
        </w:rPr>
        <w:t>2</w:t>
      </w:r>
      <w:r w:rsidR="00CB3388">
        <w:rPr>
          <w:noProof/>
        </w:rPr>
        <w:fldChar w:fldCharType="end"/>
      </w:r>
      <w:r w:rsidR="006E4D2E">
        <w:t xml:space="preserve"> </w:t>
      </w:r>
      <w:r>
        <w:t>(histogram with bell curve on top of dependent variable)</w:t>
      </w:r>
    </w:p>
    <w:p w14:paraId="07703C04" w14:textId="5143AE8B" w:rsidR="006E4D2E" w:rsidRDefault="00F27974" w:rsidP="007D6A71">
      <w:pPr>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0A3CB913" w14:textId="421610E6" w:rsidR="00CE4315" w:rsidRDefault="00DE6771" w:rsidP="00DE6771">
      <w:pPr>
        <w:pStyle w:val="Heading1"/>
      </w:pPr>
      <w:r>
        <w:t>4.</w:t>
      </w:r>
      <w:r w:rsidR="00D52E11">
        <w:t xml:space="preserve"> </w:t>
      </w:r>
      <w:r>
        <w:t>Analysis</w:t>
      </w:r>
    </w:p>
    <w:p w14:paraId="272660C2" w14:textId="7C0A8A0A" w:rsidR="00DE6771" w:rsidRPr="00DE6771" w:rsidRDefault="00DE6771" w:rsidP="00D52E11">
      <w:pPr>
        <w:pStyle w:val="Heading2"/>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63D7E620" w:rsidR="00965676" w:rsidRDefault="00CB7B3E" w:rsidP="00965676">
      <w:pPr>
        <w:spacing w:line="259"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chosen as the dependent variable Wine quality is mostly normally distributed because it follows the bell curve shape. Normality is the primary condition of the T-test which makes it superior to the Wilcoxon test in our specific scenario. The Wilcoxon Test is </w:t>
      </w:r>
      <w:r w:rsidRPr="00CB7B3E">
        <w:rPr>
          <w:rFonts w:ascii="Times New Roman" w:eastAsia="Times New Roman" w:hAnsi="Times New Roman" w:cs="Times New Roman"/>
          <w:sz w:val="22"/>
          <w:szCs w:val="22"/>
        </w:rPr>
        <w:t>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w:t>
      </w:r>
      <w:r w:rsidRPr="00CB7B3E">
        <w:rPr>
          <w:rFonts w:ascii="Times New Roman" w:eastAsia="Times New Roman" w:hAnsi="Times New Roman" w:cs="Times New Roman"/>
          <w:sz w:val="22"/>
          <w:szCs w:val="22"/>
        </w:rPr>
        <w:t xml:space="preserve"> and doesn’t require normality. T-test will effectively compare the mean of the two different alcohol levels aligning with our research question.</w:t>
      </w:r>
    </w:p>
    <w:p w14:paraId="74A19384" w14:textId="4FA71942" w:rsidR="00CB7B3E" w:rsidRDefault="00316879" w:rsidP="00316879">
      <w:pPr>
        <w:pStyle w:val="Heading2"/>
      </w:pPr>
      <w:r w:rsidRPr="00316879">
        <w:t xml:space="preserve">4.2. </w:t>
      </w:r>
      <w:r w:rsidRPr="00316879">
        <w:t>The null hypothesis is rejected /not rejected based on the p-value</w:t>
      </w:r>
    </w:p>
    <w:p w14:paraId="4A2E0917" w14:textId="3BEA075E" w:rsidR="00316879" w:rsidRDefault="00316879" w:rsidP="00316879"/>
    <w:p w14:paraId="4D14DCB5" w14:textId="77777777" w:rsidR="00316879" w:rsidRPr="00316879" w:rsidRDefault="00316879" w:rsidP="00316879"/>
    <w:p w14:paraId="3772E0CA" w14:textId="77777777" w:rsidR="009A3D1F" w:rsidRPr="009A3D1F" w:rsidRDefault="009A3D1F" w:rsidP="009A3D1F">
      <w:pPr>
        <w:pStyle w:val="Heading1"/>
        <w:rPr>
          <w:rFonts w:eastAsia="Times New Roman"/>
        </w:rPr>
      </w:pPr>
      <w:r w:rsidRPr="009A3D1F">
        <w:rPr>
          <w:rFonts w:eastAsia="Times New Roman"/>
        </w:rPr>
        <w:t>Evaluation – group’s experience at 7COM1079</w:t>
      </w:r>
    </w:p>
    <w:p w14:paraId="710670FA" w14:textId="45410D23" w:rsidR="00740CE3" w:rsidRDefault="009A3D1F" w:rsidP="00965676">
      <w:pPr>
        <w:pStyle w:val="Heading2"/>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76BC71C7" w14:textId="77777777" w:rsidR="00316879" w:rsidRDefault="00316879" w:rsidP="004E44F1">
      <w:pPr>
        <w:rPr>
          <w:rFonts w:ascii="Times New Roman" w:hAnsi="Times New Roman" w:cs="Times New Roman"/>
          <w:color w:val="172B4D"/>
          <w:sz w:val="22"/>
          <w:szCs w:val="22"/>
        </w:rPr>
      </w:pPr>
    </w:p>
    <w:p w14:paraId="0FEB58BC" w14:textId="17CC8A59" w:rsidR="004E44F1" w:rsidRPr="00316879" w:rsidRDefault="004E44F1" w:rsidP="004E44F1">
      <w:pPr>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FC4B28">
      <w:pPr>
        <w:pStyle w:val="Heading2"/>
      </w:pPr>
    </w:p>
    <w:p w14:paraId="5C6B494B" w14:textId="52B7E569" w:rsidR="008D0ADE" w:rsidRPr="004E44F1" w:rsidRDefault="005771D3" w:rsidP="00FC4B28">
      <w:pPr>
        <w:pStyle w:val="Heading2"/>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80192D">
      <w:pPr>
        <w:pStyle w:val="Heading2"/>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965676">
      <w:pPr>
        <w:pStyle w:val="Heading2"/>
      </w:pPr>
      <w:r>
        <w:t xml:space="preserve">5.4. Project’s </w:t>
      </w:r>
      <w:r w:rsidR="005771D3">
        <w:t>overall</w:t>
      </w:r>
      <w:r>
        <w:t xml:space="preserve"> </w:t>
      </w:r>
      <w:r w:rsidR="005771D3">
        <w:t>j</w:t>
      </w:r>
      <w:r>
        <w:t>udgement</w:t>
      </w:r>
    </w:p>
    <w:p w14:paraId="409DAA36" w14:textId="77777777" w:rsidR="00965676" w:rsidRDefault="00965676" w:rsidP="007D6A71">
      <w:pPr>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Pr="007D6A71" w:rsidRDefault="009633C2" w:rsidP="009633C2">
      <w:pPr>
        <w:pStyle w:val="Heading2"/>
        <w:rPr>
          <w:rFonts w:eastAsia="Times New Roman"/>
        </w:rPr>
      </w:pPr>
      <w:r>
        <w:rPr>
          <w:rFonts w:eastAsia="Times New Roman"/>
        </w:rPr>
        <w:t>5.5.</w:t>
      </w:r>
      <w:r w:rsidRPr="4ABDCFE3">
        <w:rPr>
          <w:rFonts w:eastAsia="Times New Roman"/>
        </w:rPr>
        <w:t xml:space="preserve"> Comment on the GitHub log output</w:t>
      </w:r>
    </w:p>
    <w:p w14:paraId="1BAF5B1C" w14:textId="77777777" w:rsidR="00965676" w:rsidRPr="00965676" w:rsidRDefault="00965676" w:rsidP="00965676"/>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233B721A" w14:textId="77777777" w:rsidR="00C91A54" w:rsidRPr="006D711D" w:rsidRDefault="00C91A54" w:rsidP="0087436D">
      <w:pPr>
        <w:spacing w:line="259"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432E1" w14:textId="77777777" w:rsidR="00B92D39" w:rsidRDefault="00B92D39" w:rsidP="004E1F07">
      <w:pPr>
        <w:spacing w:after="0" w:line="240" w:lineRule="auto"/>
      </w:pPr>
      <w:r>
        <w:separator/>
      </w:r>
    </w:p>
  </w:endnote>
  <w:endnote w:type="continuationSeparator" w:id="0">
    <w:p w14:paraId="50BFDCEC" w14:textId="77777777" w:rsidR="00B92D39" w:rsidRDefault="00B92D39"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9CF35" w14:textId="77777777" w:rsidR="00B92D39" w:rsidRDefault="00B92D39" w:rsidP="004E1F07">
      <w:pPr>
        <w:spacing w:after="0" w:line="240" w:lineRule="auto"/>
      </w:pPr>
      <w:r>
        <w:separator/>
      </w:r>
    </w:p>
  </w:footnote>
  <w:footnote w:type="continuationSeparator" w:id="0">
    <w:p w14:paraId="3F422FE0" w14:textId="77777777" w:rsidR="00B92D39" w:rsidRDefault="00B92D39"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2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74291"/>
    <w:rsid w:val="000A0E20"/>
    <w:rsid w:val="000B7714"/>
    <w:rsid w:val="000E131B"/>
    <w:rsid w:val="000E4D3B"/>
    <w:rsid w:val="00121FC4"/>
    <w:rsid w:val="00137656"/>
    <w:rsid w:val="001723F3"/>
    <w:rsid w:val="001764E1"/>
    <w:rsid w:val="00193797"/>
    <w:rsid w:val="00193858"/>
    <w:rsid w:val="0019799C"/>
    <w:rsid w:val="00200463"/>
    <w:rsid w:val="0020155B"/>
    <w:rsid w:val="00202938"/>
    <w:rsid w:val="002066A3"/>
    <w:rsid w:val="002356CD"/>
    <w:rsid w:val="00241091"/>
    <w:rsid w:val="0024459A"/>
    <w:rsid w:val="00246239"/>
    <w:rsid w:val="00255A18"/>
    <w:rsid w:val="00285839"/>
    <w:rsid w:val="00297851"/>
    <w:rsid w:val="002A7B88"/>
    <w:rsid w:val="002B3283"/>
    <w:rsid w:val="002B6495"/>
    <w:rsid w:val="002C39EC"/>
    <w:rsid w:val="002E70F0"/>
    <w:rsid w:val="002F2357"/>
    <w:rsid w:val="00305F29"/>
    <w:rsid w:val="00316879"/>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771D3"/>
    <w:rsid w:val="00582F83"/>
    <w:rsid w:val="005854CF"/>
    <w:rsid w:val="005A7097"/>
    <w:rsid w:val="005C4730"/>
    <w:rsid w:val="0060093E"/>
    <w:rsid w:val="00620C80"/>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5676"/>
    <w:rsid w:val="0098617A"/>
    <w:rsid w:val="009A3D1F"/>
    <w:rsid w:val="009C1EE4"/>
    <w:rsid w:val="009E5B41"/>
    <w:rsid w:val="009F31F1"/>
    <w:rsid w:val="009F37C3"/>
    <w:rsid w:val="009F5809"/>
    <w:rsid w:val="00A320BC"/>
    <w:rsid w:val="00A66686"/>
    <w:rsid w:val="00A86FB7"/>
    <w:rsid w:val="00AA0D16"/>
    <w:rsid w:val="00AB06BB"/>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4DF6"/>
    <w:rsid w:val="00D52E11"/>
    <w:rsid w:val="00D53A79"/>
    <w:rsid w:val="00D61B70"/>
    <w:rsid w:val="00D94298"/>
    <w:rsid w:val="00DE5764"/>
    <w:rsid w:val="00DE6771"/>
    <w:rsid w:val="00E136A1"/>
    <w:rsid w:val="00E262F3"/>
    <w:rsid w:val="00E51179"/>
    <w:rsid w:val="00E57B73"/>
    <w:rsid w:val="00E745C2"/>
    <w:rsid w:val="00E8368F"/>
    <w:rsid w:val="00E8766A"/>
    <w:rsid w:val="00E905E8"/>
    <w:rsid w:val="00E96BF1"/>
    <w:rsid w:val="00EA24E6"/>
    <w:rsid w:val="00EB7902"/>
    <w:rsid w:val="00ED1D34"/>
    <w:rsid w:val="00ED22E7"/>
    <w:rsid w:val="00ED7DBF"/>
    <w:rsid w:val="00EE2D6C"/>
    <w:rsid w:val="00EE4EDB"/>
    <w:rsid w:val="00F010E5"/>
    <w:rsid w:val="00F02961"/>
    <w:rsid w:val="00F0693C"/>
    <w:rsid w:val="00F24B89"/>
    <w:rsid w:val="00F27974"/>
    <w:rsid w:val="00F319D0"/>
    <w:rsid w:val="00F459F6"/>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180</cp:revision>
  <dcterms:created xsi:type="dcterms:W3CDTF">2024-12-19T16:40:00Z</dcterms:created>
  <dcterms:modified xsi:type="dcterms:W3CDTF">2024-12-27T02:26:00Z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