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Source DOCX Fixture</w:t>
      </w:r>
    </w:p>
    <w:p>
      <w:r>
        <w:t>Payment authorization must handle approved, declined, and timeout responses.</w:t>
      </w:r>
    </w:p>
    <w:p>
      <w:r>
        <w:t>שורת דרישה בעברית</w:t>
      </w:r>
    </w:p>
    <w:p>
      <w:r>
        <w:t>Bullet: Send customer notification after approval.</w:t>
      </w:r>
    </w:p>
    <w:sectPr/>
  </w:body>
</w:document>
</file>