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3678E" w14:textId="4134F138" w:rsidR="00EA2F20" w:rsidRPr="00EA2F20" w:rsidRDefault="00EA2F20" w:rsidP="00EA2F20">
      <w:pPr>
        <w:spacing w:after="0"/>
        <w:jc w:val="center"/>
        <w:rPr>
          <w:b/>
          <w:sz w:val="28"/>
          <w:szCs w:val="28"/>
        </w:rPr>
      </w:pPr>
      <w:r w:rsidRPr="00EA2F20">
        <w:rPr>
          <w:b/>
          <w:sz w:val="28"/>
          <w:szCs w:val="28"/>
        </w:rPr>
        <w:t>Infoblatt</w:t>
      </w:r>
      <w:r>
        <w:rPr>
          <w:b/>
          <w:sz w:val="28"/>
          <w:szCs w:val="28"/>
        </w:rPr>
        <w:t xml:space="preserve"> Internationale Wertpapierkennnummer (ISIN)</w:t>
      </w:r>
    </w:p>
    <w:p w14:paraId="7D6D9EAA" w14:textId="2716D8D2" w:rsidR="00EA2F20" w:rsidRDefault="00EA2F20" w:rsidP="00EA2F20">
      <w:pPr>
        <w:spacing w:after="0"/>
        <w:rPr>
          <w:bCs/>
        </w:rPr>
      </w:pPr>
    </w:p>
    <w:p w14:paraId="3288C436" w14:textId="0F87E5FC" w:rsidR="00EA2F20" w:rsidRDefault="00EA2F20" w:rsidP="00EA2F20">
      <w:pPr>
        <w:spacing w:after="0"/>
        <w:rPr>
          <w:bCs/>
        </w:rPr>
      </w:pPr>
      <w:r>
        <w:rPr>
          <w:bCs/>
        </w:rPr>
        <w:t xml:space="preserve">Ist eine standardisierte Kennnummer, die zur eindeutigen Identifikation von Wertpapieren </w:t>
      </w:r>
      <w:r w:rsidRPr="00EA2F20">
        <w:rPr>
          <w:bCs/>
        </w:rPr>
        <w:t xml:space="preserve">wie Aktien, Anleihen oder Investmentfonds verwendet wird. Sie wurde in den 1980er Jahren von der </w:t>
      </w:r>
      <w:proofErr w:type="spellStart"/>
      <w:r w:rsidRPr="00EA2F20">
        <w:rPr>
          <w:bCs/>
        </w:rPr>
        <w:t>Association</w:t>
      </w:r>
      <w:proofErr w:type="spellEnd"/>
      <w:r w:rsidRPr="00EA2F20">
        <w:rPr>
          <w:bCs/>
        </w:rPr>
        <w:t xml:space="preserve"> </w:t>
      </w:r>
      <w:proofErr w:type="spellStart"/>
      <w:r w:rsidRPr="00EA2F20">
        <w:rPr>
          <w:bCs/>
        </w:rPr>
        <w:t>of</w:t>
      </w:r>
      <w:proofErr w:type="spellEnd"/>
      <w:r w:rsidRPr="00EA2F20">
        <w:rPr>
          <w:bCs/>
        </w:rPr>
        <w:t xml:space="preserve"> National </w:t>
      </w:r>
      <w:proofErr w:type="spellStart"/>
      <w:r w:rsidRPr="00EA2F20">
        <w:rPr>
          <w:bCs/>
        </w:rPr>
        <w:t>Numbering</w:t>
      </w:r>
      <w:proofErr w:type="spellEnd"/>
      <w:r w:rsidRPr="00EA2F20">
        <w:rPr>
          <w:bCs/>
        </w:rPr>
        <w:t xml:space="preserve"> </w:t>
      </w:r>
      <w:proofErr w:type="spellStart"/>
      <w:r w:rsidRPr="00EA2F20">
        <w:rPr>
          <w:bCs/>
        </w:rPr>
        <w:t>Agencies</w:t>
      </w:r>
      <w:proofErr w:type="spellEnd"/>
      <w:r w:rsidRPr="00EA2F20">
        <w:rPr>
          <w:bCs/>
        </w:rPr>
        <w:t xml:space="preserve"> (ANNA) entwickelt und wird weltweit von Finanzinstitutionen, Regulierungsbehörden und anderen Marktteilnehmern verwendet.</w:t>
      </w:r>
    </w:p>
    <w:p w14:paraId="6B8EB402" w14:textId="5C9CAB28" w:rsidR="00EA2F20" w:rsidRDefault="00EA2F20" w:rsidP="00EA2F20">
      <w:pPr>
        <w:spacing w:after="0"/>
        <w:rPr>
          <w:bCs/>
        </w:rPr>
      </w:pPr>
    </w:p>
    <w:p w14:paraId="015F163F" w14:textId="20FC884D" w:rsidR="00EA2F20" w:rsidRDefault="00EA2F20" w:rsidP="00EA2F20">
      <w:pPr>
        <w:spacing w:after="0"/>
      </w:pPr>
      <w:r>
        <w:t>Die ISIN ist eine alphanumerische Kennnummer, die aus insgesamt 12 Zeichen besteht. Sie ist in drei Teile gegliedert:</w:t>
      </w:r>
    </w:p>
    <w:p w14:paraId="2FE9F01B" w14:textId="18AAF991" w:rsidR="00CE2D43" w:rsidRDefault="00CE2D43" w:rsidP="00CE2D43">
      <w:pPr>
        <w:pStyle w:val="Listenabsatz"/>
        <w:numPr>
          <w:ilvl w:val="0"/>
          <w:numId w:val="1"/>
        </w:numPr>
        <w:spacing w:after="0"/>
        <w:rPr>
          <w:bCs/>
        </w:rPr>
      </w:pPr>
      <w:r w:rsidRPr="00B840B5">
        <w:rPr>
          <w:b/>
        </w:rPr>
        <w:t>Länderkennung</w:t>
      </w:r>
      <w:r>
        <w:rPr>
          <w:bCs/>
        </w:rPr>
        <w:t>: Die ersten beiden Zeichen der ISIN repräsentieren das Ursprungsland des Wertpapiers.</w:t>
      </w:r>
    </w:p>
    <w:p w14:paraId="6A494A0E" w14:textId="672BDE66" w:rsidR="00CE2D43" w:rsidRPr="00CE2D43" w:rsidRDefault="00CE2D43" w:rsidP="00CE2D43">
      <w:pPr>
        <w:pStyle w:val="Listenabsatz"/>
        <w:numPr>
          <w:ilvl w:val="0"/>
          <w:numId w:val="1"/>
        </w:numPr>
        <w:spacing w:after="0"/>
        <w:rPr>
          <w:bCs/>
        </w:rPr>
      </w:pPr>
      <w:r w:rsidRPr="00B840B5">
        <w:rPr>
          <w:b/>
        </w:rPr>
        <w:t>Wertpapierkennung</w:t>
      </w:r>
      <w:r>
        <w:rPr>
          <w:bCs/>
        </w:rPr>
        <w:t xml:space="preserve">: </w:t>
      </w:r>
      <w:r>
        <w:t>Die nächsten neun Zeichen der ISIN bilden die Wertpapierkennung und identifizieren das spezifische Wertpapier innerhalb des Landes. Diese Kennung wird von der ausstellenden Organisation vergeben und kann je nach Art des Wertpapiers unterschiedlich sein.</w:t>
      </w:r>
    </w:p>
    <w:p w14:paraId="18FFD3B0" w14:textId="260180FE" w:rsidR="00CE2D43" w:rsidRPr="00CE2D43" w:rsidRDefault="00CE2D43" w:rsidP="00CE2D43">
      <w:pPr>
        <w:pStyle w:val="Listenabsatz"/>
        <w:numPr>
          <w:ilvl w:val="0"/>
          <w:numId w:val="1"/>
        </w:numPr>
        <w:spacing w:after="0"/>
        <w:rPr>
          <w:bCs/>
        </w:rPr>
      </w:pPr>
      <w:r w:rsidRPr="00B840B5">
        <w:rPr>
          <w:b/>
          <w:bCs/>
        </w:rPr>
        <w:t>Prüfziffer</w:t>
      </w:r>
      <w:r>
        <w:t>: Das letzte Zeichen der ISIN ist die Prüfziffer, die zur Fehlererkennung und Integritätssicherung der ISIN dient. Sie wird mithilfe eines Algorithmus berechnet, der auf den anderen Zeichen der ISIN basiert.</w:t>
      </w:r>
    </w:p>
    <w:p w14:paraId="22BE68B1" w14:textId="67C2528C" w:rsidR="00CE2D43" w:rsidRDefault="00CE2D43" w:rsidP="00CE2D43">
      <w:pPr>
        <w:spacing w:after="0"/>
        <w:rPr>
          <w:bCs/>
        </w:rPr>
      </w:pPr>
    </w:p>
    <w:p w14:paraId="24E5ADFC" w14:textId="443387C9" w:rsidR="00CE2D43" w:rsidRPr="00B840B5" w:rsidRDefault="00CE2D43" w:rsidP="41E64AE3">
      <w:pPr>
        <w:spacing w:after="0"/>
        <w:rPr>
          <w:b/>
          <w:bCs/>
        </w:rPr>
      </w:pPr>
      <w:r w:rsidRPr="41E64AE3">
        <w:rPr>
          <w:b/>
          <w:bCs/>
        </w:rPr>
        <w:t>Wofür wird die ISIN verwendet?</w:t>
      </w:r>
    </w:p>
    <w:p w14:paraId="07ED02AA" w14:textId="1C38E4C0" w:rsidR="00CE2D43" w:rsidRDefault="00CE2D43" w:rsidP="00CE2D43">
      <w:pPr>
        <w:spacing w:after="0"/>
        <w:rPr>
          <w:b/>
        </w:rPr>
      </w:pPr>
      <w:r>
        <w:t xml:space="preserve">Die ISIN dient dazu, Wertpapiere eindeutig zu identifizieren und Fehler bei der Eingabe oder Übertragung von Wertpapierinformationen zu verhindern. Sie wird von Finanzinstitutionen, wie Börsen, Banken, Clearinghäusern und Regulierungsbehörden, für verschiedene Zwecke verwendet, einschließlich: </w:t>
      </w:r>
      <w:r>
        <w:rPr>
          <w:b/>
        </w:rPr>
        <w:t>Handel, Abwicklung, Berichterstattung, Portfolioverwaltung, Risikomanagement.</w:t>
      </w:r>
    </w:p>
    <w:p w14:paraId="4DAC6847" w14:textId="6A29388E" w:rsidR="00CE2D43" w:rsidRDefault="00CE2D43" w:rsidP="00CE2D43">
      <w:pPr>
        <w:spacing w:after="0"/>
        <w:rPr>
          <w:b/>
        </w:rPr>
      </w:pPr>
    </w:p>
    <w:p w14:paraId="4A6B9021" w14:textId="3DFA1705" w:rsidR="00CE2D43" w:rsidRDefault="0078348D" w:rsidP="41E64AE3">
      <w:pPr>
        <w:spacing w:after="0"/>
        <w:rPr>
          <w:b/>
          <w:bCs/>
        </w:rPr>
      </w:pPr>
      <w:r w:rsidRPr="41E64AE3">
        <w:rPr>
          <w:b/>
          <w:bCs/>
        </w:rPr>
        <w:t>Wie wird die ISIN vergeben?</w:t>
      </w:r>
    </w:p>
    <w:p w14:paraId="7DFB399C" w14:textId="3E1D60E0" w:rsidR="0078348D" w:rsidRDefault="0078348D" w:rsidP="00CE2D43">
      <w:pPr>
        <w:spacing w:after="0"/>
      </w:pPr>
      <w:r>
        <w:t>Die ISIN wird von der ausstellenden Organisation vergeben, die das Wertpapier emittiert. In den meisten Fällen ist dies die emittierende Gesellschaft oder Organisation, wie ein Unternehmen oder eine Regierung für Aktien oder Anleihen, oder eine Investmentgesellschaft für Investmentfonds. Die ausstellende Organisation ist für die Einhaltung der ISIN-Standards und die korrekte Vergabe der ISIN verantwortlich.</w:t>
      </w:r>
    </w:p>
    <w:p w14:paraId="081A4A18" w14:textId="73993097" w:rsidR="005B4124" w:rsidRDefault="005B4124" w:rsidP="00CE2D43">
      <w:pPr>
        <w:spacing w:after="0"/>
      </w:pPr>
    </w:p>
    <w:p w14:paraId="30057278" w14:textId="34829654" w:rsidR="00B52244" w:rsidRDefault="005B4124" w:rsidP="41E64AE3">
      <w:pPr>
        <w:spacing w:after="0"/>
        <w:rPr>
          <w:b/>
          <w:bCs/>
        </w:rPr>
      </w:pPr>
      <w:r w:rsidRPr="41E64AE3">
        <w:rPr>
          <w:b/>
          <w:bCs/>
        </w:rPr>
        <w:t>Wie wird die Prüfziffer berechnet?</w:t>
      </w:r>
    </w:p>
    <w:p w14:paraId="167862E9" w14:textId="55015ACE" w:rsidR="00042969" w:rsidRDefault="00042969" w:rsidP="00CE2D43">
      <w:pPr>
        <w:spacing w:after="0"/>
        <w:rPr>
          <w:bCs/>
        </w:rPr>
      </w:pPr>
      <w:r>
        <w:rPr>
          <w:bCs/>
        </w:rPr>
        <w:t xml:space="preserve">Vorhandene nicht numerische Zeichen </w:t>
      </w:r>
      <w:r w:rsidRPr="00042969">
        <w:rPr>
          <w:bCs/>
        </w:rPr>
        <w:t>müssen zur Berechnung in einen numerischen Wert umgewandelt werden:</w:t>
      </w:r>
    </w:p>
    <w:p w14:paraId="6ED6D20E" w14:textId="5A1C2899" w:rsidR="00042969" w:rsidRDefault="00042969" w:rsidP="00CE2D43">
      <w:pPr>
        <w:spacing w:after="0"/>
        <w:rPr>
          <w:bCs/>
        </w:rPr>
      </w:pPr>
      <w:r>
        <w:rPr>
          <w:noProof/>
        </w:rPr>
        <w:drawing>
          <wp:inline distT="0" distB="0" distL="0" distR="0" wp14:anchorId="0F64D3C5" wp14:editId="58FF6D97">
            <wp:extent cx="2701255" cy="1776075"/>
            <wp:effectExtent l="0" t="0" r="444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4059" cy="1797643"/>
                    </a:xfrm>
                    <a:prstGeom prst="rect">
                      <a:avLst/>
                    </a:prstGeom>
                  </pic:spPr>
                </pic:pic>
              </a:graphicData>
            </a:graphic>
          </wp:inline>
        </w:drawing>
      </w:r>
    </w:p>
    <w:p w14:paraId="054E6142" w14:textId="2AF5D521" w:rsidR="00042969" w:rsidRDefault="00042969" w:rsidP="00CE2D43">
      <w:pPr>
        <w:spacing w:after="0"/>
        <w:rPr>
          <w:bCs/>
        </w:rPr>
      </w:pPr>
    </w:p>
    <w:p w14:paraId="6485BA82" w14:textId="76D6EE9E" w:rsidR="00B52244" w:rsidRPr="00B52244" w:rsidRDefault="00B52244" w:rsidP="00B52244">
      <w:pPr>
        <w:pStyle w:val="Listenabsatz"/>
        <w:numPr>
          <w:ilvl w:val="0"/>
          <w:numId w:val="2"/>
        </w:numPr>
        <w:spacing w:after="0"/>
        <w:rPr>
          <w:bCs/>
        </w:rPr>
      </w:pPr>
      <w:r w:rsidRPr="00B52244">
        <w:rPr>
          <w:bCs/>
        </w:rPr>
        <w:t>Beginnend von rechts werden alle Ziffern abwechselnd mit 1 und 2 gewichtet (PZ = 1. Stelle = Gewicht 1).</w:t>
      </w:r>
    </w:p>
    <w:p w14:paraId="7950F8BF" w14:textId="09232933" w:rsidR="00B52244" w:rsidRPr="00B52244" w:rsidRDefault="00B52244" w:rsidP="00B52244">
      <w:pPr>
        <w:pStyle w:val="Listenabsatz"/>
        <w:numPr>
          <w:ilvl w:val="0"/>
          <w:numId w:val="2"/>
        </w:numPr>
        <w:spacing w:after="0"/>
        <w:rPr>
          <w:bCs/>
        </w:rPr>
      </w:pPr>
      <w:r w:rsidRPr="00B52244">
        <w:rPr>
          <w:bCs/>
        </w:rPr>
        <w:t>Die Quersumme über alle Produkte wird errechnet.</w:t>
      </w:r>
    </w:p>
    <w:p w14:paraId="3263AA54" w14:textId="07F4E421" w:rsidR="00B52244" w:rsidRPr="00B52244" w:rsidRDefault="00B52244" w:rsidP="00B52244">
      <w:pPr>
        <w:pStyle w:val="Listenabsatz"/>
        <w:numPr>
          <w:ilvl w:val="0"/>
          <w:numId w:val="2"/>
        </w:numPr>
        <w:spacing w:after="0"/>
        <w:rPr>
          <w:bCs/>
        </w:rPr>
      </w:pPr>
      <w:r w:rsidRPr="00B52244">
        <w:rPr>
          <w:bCs/>
        </w:rPr>
        <w:lastRenderedPageBreak/>
        <w:t xml:space="preserve">Von der Quersumme wird der ganzzahlige Rest zum </w:t>
      </w:r>
      <w:r w:rsidR="004A1015" w:rsidRPr="00B52244">
        <w:rPr>
          <w:bCs/>
        </w:rPr>
        <w:t>nächstkleineren</w:t>
      </w:r>
      <w:r w:rsidRPr="00B52244">
        <w:rPr>
          <w:bCs/>
        </w:rPr>
        <w:t xml:space="preserve"> Vielfachen von 10 bestimmt (Modulo 10).</w:t>
      </w:r>
    </w:p>
    <w:p w14:paraId="32A9B687" w14:textId="171BC727" w:rsidR="00B52244" w:rsidRPr="00B52244" w:rsidRDefault="00B52244" w:rsidP="00B52244">
      <w:pPr>
        <w:pStyle w:val="Listenabsatz"/>
        <w:numPr>
          <w:ilvl w:val="0"/>
          <w:numId w:val="2"/>
        </w:numPr>
        <w:spacing w:after="0"/>
        <w:rPr>
          <w:bCs/>
        </w:rPr>
      </w:pPr>
      <w:r w:rsidRPr="00B52244">
        <w:rPr>
          <w:bCs/>
        </w:rPr>
        <w:t xml:space="preserve">Die Prüfziffer ergibt sich nach </w:t>
      </w:r>
      <w:proofErr w:type="spellStart"/>
      <w:r w:rsidRPr="00B52244">
        <w:rPr>
          <w:bCs/>
        </w:rPr>
        <w:t>Substraktion</w:t>
      </w:r>
      <w:proofErr w:type="spellEnd"/>
      <w:r w:rsidRPr="00B52244">
        <w:rPr>
          <w:bCs/>
        </w:rPr>
        <w:t xml:space="preserve"> des Restes von 10.</w:t>
      </w:r>
    </w:p>
    <w:p w14:paraId="33FE16A6" w14:textId="59B3CF9B" w:rsidR="00042969" w:rsidRPr="00B52244" w:rsidRDefault="00B52244" w:rsidP="00B52244">
      <w:pPr>
        <w:pStyle w:val="Listenabsatz"/>
        <w:spacing w:after="0"/>
        <w:rPr>
          <w:bCs/>
        </w:rPr>
      </w:pPr>
      <w:r w:rsidRPr="00B52244">
        <w:rPr>
          <w:bCs/>
        </w:rPr>
        <w:t>Ist die Differenz 10, gilt p = 0</w:t>
      </w:r>
    </w:p>
    <w:p w14:paraId="643FD3B0" w14:textId="568D0527" w:rsidR="00042969" w:rsidRDefault="00B52244" w:rsidP="004A1015">
      <w:pPr>
        <w:spacing w:after="0"/>
        <w:rPr>
          <w:bCs/>
        </w:rPr>
      </w:pPr>
      <w:r>
        <w:rPr>
          <w:bCs/>
        </w:rPr>
        <w:tab/>
      </w:r>
      <w:r>
        <w:rPr>
          <w:bCs/>
        </w:rPr>
        <w:tab/>
        <w:t xml:space="preserve">   </w:t>
      </w:r>
    </w:p>
    <w:p w14:paraId="05520B0E" w14:textId="0466E5EB" w:rsidR="00B52244" w:rsidRDefault="004A1015" w:rsidP="00CE2D43">
      <w:pPr>
        <w:spacing w:after="0"/>
        <w:rPr>
          <w:bCs/>
        </w:rPr>
      </w:pPr>
      <w:r>
        <w:rPr>
          <w:noProof/>
        </w:rPr>
        <w:drawing>
          <wp:inline distT="0" distB="0" distL="0" distR="0" wp14:anchorId="7A8F2369" wp14:editId="604E7871">
            <wp:extent cx="3219450" cy="58674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9450" cy="5867400"/>
                    </a:xfrm>
                    <a:prstGeom prst="rect">
                      <a:avLst/>
                    </a:prstGeom>
                  </pic:spPr>
                </pic:pic>
              </a:graphicData>
            </a:graphic>
          </wp:inline>
        </w:drawing>
      </w:r>
    </w:p>
    <w:p w14:paraId="11672E8E" w14:textId="3E71C90A" w:rsidR="00042969" w:rsidRDefault="00042969" w:rsidP="00CE2D43">
      <w:pPr>
        <w:spacing w:after="0"/>
        <w:rPr>
          <w:bCs/>
        </w:rPr>
      </w:pPr>
    </w:p>
    <w:p w14:paraId="2E3A5B1A" w14:textId="0FC5BF74" w:rsidR="00042969" w:rsidRDefault="00042969" w:rsidP="00CE2D43">
      <w:pPr>
        <w:spacing w:after="0"/>
        <w:rPr>
          <w:bCs/>
        </w:rPr>
      </w:pPr>
    </w:p>
    <w:p w14:paraId="304E71CD" w14:textId="4C7082D7" w:rsidR="00042969" w:rsidRDefault="00042969" w:rsidP="00CE2D43">
      <w:pPr>
        <w:spacing w:after="0"/>
        <w:rPr>
          <w:bCs/>
        </w:rPr>
      </w:pPr>
    </w:p>
    <w:p w14:paraId="135842E2" w14:textId="3C0A843C" w:rsidR="00042969" w:rsidRDefault="00042969" w:rsidP="00CE2D43">
      <w:pPr>
        <w:spacing w:after="0"/>
        <w:rPr>
          <w:bCs/>
        </w:rPr>
      </w:pPr>
    </w:p>
    <w:p w14:paraId="0EF85B23" w14:textId="77777777" w:rsidR="00133902" w:rsidRDefault="00133902" w:rsidP="00CE2D43">
      <w:pPr>
        <w:spacing w:after="0"/>
        <w:rPr>
          <w:b/>
          <w:bCs/>
        </w:rPr>
      </w:pPr>
    </w:p>
    <w:p w14:paraId="1EE6C19E" w14:textId="77777777" w:rsidR="00133902" w:rsidRDefault="00133902" w:rsidP="00CE2D43">
      <w:pPr>
        <w:spacing w:after="0"/>
        <w:rPr>
          <w:b/>
          <w:bCs/>
        </w:rPr>
      </w:pPr>
    </w:p>
    <w:p w14:paraId="09A01210" w14:textId="79F889D6" w:rsidR="41E64AE3" w:rsidRDefault="41E64AE3" w:rsidP="41E64AE3">
      <w:pPr>
        <w:spacing w:after="0"/>
        <w:rPr>
          <w:b/>
          <w:bCs/>
        </w:rPr>
      </w:pPr>
    </w:p>
    <w:p w14:paraId="64149CE2" w14:textId="476F653B" w:rsidR="41E64AE3" w:rsidRDefault="41E64AE3" w:rsidP="41E64AE3">
      <w:pPr>
        <w:spacing w:after="0"/>
        <w:rPr>
          <w:b/>
          <w:bCs/>
        </w:rPr>
      </w:pPr>
    </w:p>
    <w:p w14:paraId="7E74D358" w14:textId="77777777" w:rsidR="00133902" w:rsidRDefault="00133902" w:rsidP="00CE2D43">
      <w:pPr>
        <w:spacing w:after="0"/>
        <w:rPr>
          <w:b/>
          <w:bCs/>
        </w:rPr>
      </w:pPr>
    </w:p>
    <w:p w14:paraId="4A2C87B4" w14:textId="77777777" w:rsidR="00133902" w:rsidRDefault="00133902" w:rsidP="00CE2D43">
      <w:pPr>
        <w:spacing w:after="0"/>
        <w:rPr>
          <w:b/>
          <w:bCs/>
        </w:rPr>
      </w:pPr>
    </w:p>
    <w:p w14:paraId="238411AF" w14:textId="27AEDAFF" w:rsidR="00F46CC1" w:rsidRDefault="00F46CC1" w:rsidP="00CE2D43">
      <w:pPr>
        <w:spacing w:after="0"/>
        <w:rPr>
          <w:b/>
          <w:bCs/>
        </w:rPr>
      </w:pPr>
    </w:p>
    <w:p w14:paraId="7A1431D7" w14:textId="03A707D4" w:rsidR="00DA164B" w:rsidRPr="00CE2D43" w:rsidRDefault="004A00BE" w:rsidP="00CE2D43">
      <w:pPr>
        <w:spacing w:after="0"/>
        <w:rPr>
          <w:b/>
          <w:bCs/>
        </w:rPr>
      </w:pPr>
      <w:r>
        <w:rPr>
          <w:noProof/>
        </w:rPr>
        <w:lastRenderedPageBreak/>
        <w:drawing>
          <wp:inline distT="0" distB="0" distL="0" distR="0" wp14:anchorId="39E3F901" wp14:editId="79D45C8C">
            <wp:extent cx="4848225" cy="681990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6819900"/>
                    </a:xfrm>
                    <a:prstGeom prst="rect">
                      <a:avLst/>
                    </a:prstGeom>
                  </pic:spPr>
                </pic:pic>
              </a:graphicData>
            </a:graphic>
          </wp:inline>
        </w:drawing>
      </w:r>
    </w:p>
    <w:sectPr w:rsidR="00DA164B" w:rsidRPr="00CE2D43">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FB63B" w14:textId="77777777" w:rsidR="005A44FB" w:rsidRDefault="005A44FB" w:rsidP="005B286D">
      <w:pPr>
        <w:spacing w:after="0" w:line="240" w:lineRule="auto"/>
      </w:pPr>
      <w:r>
        <w:separator/>
      </w:r>
    </w:p>
  </w:endnote>
  <w:endnote w:type="continuationSeparator" w:id="0">
    <w:p w14:paraId="51E04A1E" w14:textId="77777777" w:rsidR="005A44FB" w:rsidRDefault="005A44FB" w:rsidP="005B2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7250A" w14:textId="77777777" w:rsidR="005A44FB" w:rsidRDefault="005A44FB" w:rsidP="005B286D">
      <w:pPr>
        <w:spacing w:after="0" w:line="240" w:lineRule="auto"/>
      </w:pPr>
      <w:r>
        <w:separator/>
      </w:r>
    </w:p>
  </w:footnote>
  <w:footnote w:type="continuationSeparator" w:id="0">
    <w:p w14:paraId="431ED3F7" w14:textId="77777777" w:rsidR="005A44FB" w:rsidRDefault="005A44FB" w:rsidP="005B28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2FA56" w14:textId="0568AE60" w:rsidR="005B286D" w:rsidRDefault="005B286D">
    <w:pPr>
      <w:pStyle w:val="Kopfzeile"/>
    </w:pPr>
    <w:r>
      <w:t>ISIN – Kevin Hofmann, Dimitri Kuzmin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557DF"/>
    <w:multiLevelType w:val="hybridMultilevel"/>
    <w:tmpl w:val="76E0FC2E"/>
    <w:lvl w:ilvl="0" w:tplc="691257D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5C264B5"/>
    <w:multiLevelType w:val="hybridMultilevel"/>
    <w:tmpl w:val="19ECEF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131823077">
    <w:abstractNumId w:val="0"/>
  </w:num>
  <w:num w:numId="2" w16cid:durableId="1259022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F20"/>
    <w:rsid w:val="00042969"/>
    <w:rsid w:val="00133902"/>
    <w:rsid w:val="00240D7C"/>
    <w:rsid w:val="004A00BE"/>
    <w:rsid w:val="004A1015"/>
    <w:rsid w:val="005A44FB"/>
    <w:rsid w:val="005B286D"/>
    <w:rsid w:val="005B4124"/>
    <w:rsid w:val="0078348D"/>
    <w:rsid w:val="007A2C72"/>
    <w:rsid w:val="00823BDB"/>
    <w:rsid w:val="008D0DDA"/>
    <w:rsid w:val="00914E28"/>
    <w:rsid w:val="00A73543"/>
    <w:rsid w:val="00B52244"/>
    <w:rsid w:val="00B840B5"/>
    <w:rsid w:val="00BE0C1C"/>
    <w:rsid w:val="00CE2D43"/>
    <w:rsid w:val="00D45BF6"/>
    <w:rsid w:val="00D746B1"/>
    <w:rsid w:val="00DA164B"/>
    <w:rsid w:val="00E26B53"/>
    <w:rsid w:val="00EA2F20"/>
    <w:rsid w:val="00F46CC1"/>
    <w:rsid w:val="41E64AE3"/>
    <w:rsid w:val="7A7BAF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A81B4"/>
  <w15:chartTrackingRefBased/>
  <w15:docId w15:val="{4ABE350F-895F-40D2-9EA8-845D05C92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E2D43"/>
    <w:pPr>
      <w:ind w:left="720"/>
      <w:contextualSpacing/>
    </w:pPr>
  </w:style>
  <w:style w:type="character" w:styleId="Hyperlink">
    <w:name w:val="Hyperlink"/>
    <w:basedOn w:val="Absatz-Standardschriftart"/>
    <w:uiPriority w:val="99"/>
    <w:unhideWhenUsed/>
    <w:rsid w:val="00F46CC1"/>
    <w:rPr>
      <w:color w:val="0563C1" w:themeColor="hyperlink"/>
      <w:u w:val="single"/>
    </w:rPr>
  </w:style>
  <w:style w:type="character" w:styleId="NichtaufgelsteErwhnung">
    <w:name w:val="Unresolved Mention"/>
    <w:basedOn w:val="Absatz-Standardschriftart"/>
    <w:uiPriority w:val="99"/>
    <w:semiHidden/>
    <w:unhideWhenUsed/>
    <w:rsid w:val="00F46CC1"/>
    <w:rPr>
      <w:color w:val="605E5C"/>
      <w:shd w:val="clear" w:color="auto" w:fill="E1DFDD"/>
    </w:rPr>
  </w:style>
  <w:style w:type="character" w:customStyle="1" w:styleId="ui-provider">
    <w:name w:val="ui-provider"/>
    <w:basedOn w:val="Absatz-Standardschriftart"/>
    <w:rsid w:val="00914E28"/>
  </w:style>
  <w:style w:type="paragraph" w:styleId="Kopfzeile">
    <w:name w:val="header"/>
    <w:basedOn w:val="Standard"/>
    <w:link w:val="KopfzeileZchn"/>
    <w:uiPriority w:val="99"/>
    <w:unhideWhenUsed/>
    <w:rsid w:val="005B286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B286D"/>
  </w:style>
  <w:style w:type="paragraph" w:styleId="Fuzeile">
    <w:name w:val="footer"/>
    <w:basedOn w:val="Standard"/>
    <w:link w:val="FuzeileZchn"/>
    <w:uiPriority w:val="99"/>
    <w:unhideWhenUsed/>
    <w:rsid w:val="005B286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B2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370913">
      <w:bodyDiv w:val="1"/>
      <w:marLeft w:val="0"/>
      <w:marRight w:val="0"/>
      <w:marTop w:val="0"/>
      <w:marBottom w:val="0"/>
      <w:divBdr>
        <w:top w:val="none" w:sz="0" w:space="0" w:color="auto"/>
        <w:left w:val="none" w:sz="0" w:space="0" w:color="auto"/>
        <w:bottom w:val="none" w:sz="0" w:space="0" w:color="auto"/>
        <w:right w:val="none" w:sz="0" w:space="0" w:color="auto"/>
      </w:divBdr>
    </w:div>
    <w:div w:id="200219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DD621DEE92B9F4C8B486F9EE741628D" ma:contentTypeVersion="10" ma:contentTypeDescription="Ein neues Dokument erstellen." ma:contentTypeScope="" ma:versionID="659baf79e8249cd44b0d29bfa8aef174">
  <xsd:schema xmlns:xsd="http://www.w3.org/2001/XMLSchema" xmlns:xs="http://www.w3.org/2001/XMLSchema" xmlns:p="http://schemas.microsoft.com/office/2006/metadata/properties" xmlns:ns2="e6ffe895-3475-4e6f-9fef-1f228127175a" xmlns:ns3="c07bc8e7-f9f4-459f-9c24-8ba0025dc063" targetNamespace="http://schemas.microsoft.com/office/2006/metadata/properties" ma:root="true" ma:fieldsID="46e4e8ab74b71589097d0d82209e5c2e" ns2:_="" ns3:_="">
    <xsd:import namespace="e6ffe895-3475-4e6f-9fef-1f228127175a"/>
    <xsd:import namespace="c07bc8e7-f9f4-459f-9c24-8ba0025dc06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fe895-3475-4e6f-9fef-1f22812717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f4b327f0-427d-4132-8fcc-5b7eef5d3d71"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7bc8e7-f9f4-459f-9c24-8ba0025dc063"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4" nillable="true" ma:displayName="Taxonomy Catch All Column" ma:hidden="true" ma:list="{726f0fc4-55df-4f2c-9354-0efcf1a3cbee}" ma:internalName="TaxCatchAll" ma:showField="CatchAllData" ma:web="c07bc8e7-f9f4-459f-9c24-8ba0025dc0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07bc8e7-f9f4-459f-9c24-8ba0025dc063" xsi:nil="true"/>
    <lcf76f155ced4ddcb4097134ff3c332f xmlns="e6ffe895-3475-4e6f-9fef-1f228127175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C7249EB-EE50-4912-8222-DFA26FEA80A2}"/>
</file>

<file path=customXml/itemProps2.xml><?xml version="1.0" encoding="utf-8"?>
<ds:datastoreItem xmlns:ds="http://schemas.openxmlformats.org/officeDocument/2006/customXml" ds:itemID="{8E79ED31-5B2A-4198-91E5-B82A58A7F824}"/>
</file>

<file path=customXml/itemProps3.xml><?xml version="1.0" encoding="utf-8"?>
<ds:datastoreItem xmlns:ds="http://schemas.openxmlformats.org/officeDocument/2006/customXml" ds:itemID="{C47315F4-DD8D-45D6-87E5-92506A4FB374}"/>
</file>

<file path=docProps/app.xml><?xml version="1.0" encoding="utf-8"?>
<Properties xmlns="http://schemas.openxmlformats.org/officeDocument/2006/extended-properties" xmlns:vt="http://schemas.openxmlformats.org/officeDocument/2006/docPropsVTypes">
  <Template>Normal.dotm</Template>
  <TotalTime>0</TotalTime>
  <Pages>3</Pages>
  <Words>339</Words>
  <Characters>2140</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Kuzmin, Dimitri</dc:creator>
  <cp:keywords/>
  <dc:description/>
  <cp:lastModifiedBy>Dimitri Kuzmin</cp:lastModifiedBy>
  <cp:revision>6</cp:revision>
  <dcterms:created xsi:type="dcterms:W3CDTF">2023-05-03T18:32:00Z</dcterms:created>
  <dcterms:modified xsi:type="dcterms:W3CDTF">2023-05-05T05:49:00Z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0x0101006DD621DEE92B9F4C8B486F9EE741628D</vt:lpwstr>
  </property>
</Properties>
</file>