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Arial" w:cs="Arial" w:eastAsia="Arial" w:hAnsi="Arial"/>
          <w:b/>
          <w:bCs/>
          <w:sz w:val="36"/>
          <w:szCs w:val="36"/>
        </w:rPr>
        <w:t xml:space="preserve">Abductive Prediction and Schema Transfer Across Environments: A Developmental Agent’s First Predictive Object</w:t>
      </w:r>
    </w:p>
    <w:p>
      <w:pPr>
        <w:spacing w:after="0" w:before="120"/>
      </w:pPr>
    </w:p>
    <w:p>
      <w:pPr>
        <w:spacing w:after="120" w:before="80"/>
      </w:pPr>
      <w:r>
        <w:rPr>
          <w:rFonts w:ascii="Arial" w:cs="Arial" w:eastAsia="Arial" w:hAnsi="Arial"/>
          <w:b/>
          <w:bCs/>
          <w:sz w:val="22"/>
          <w:szCs w:val="22"/>
        </w:rPr>
        <w:t xml:space="preserve">Author: </w:t>
      </w:r>
      <w:r>
        <w:rPr>
          <w:rFonts w:ascii="Arial" w:cs="Arial" w:eastAsia="Arial" w:hAnsi="Arial"/>
          <w:sz w:val="22"/>
          <w:szCs w:val="22"/>
        </w:rPr>
        <w:t xml:space="preserve">Nicholas P M Baker, Synapstak Ltd</w:t>
      </w:r>
    </w:p>
    <w:p>
      <w:pPr>
        <w:spacing w:after="120" w:before="80"/>
      </w:pPr>
      <w:r>
        <w:rPr>
          <w:rFonts w:ascii="Arial" w:cs="Arial" w:eastAsia="Arial" w:hAnsi="Arial"/>
          <w:b/>
          <w:bCs/>
          <w:sz w:val="22"/>
          <w:szCs w:val="22"/>
        </w:rPr>
        <w:t xml:space="preserve">Date: </w:t>
      </w:r>
      <w:r>
        <w:rPr>
          <w:rFonts w:ascii="Arial" w:cs="Arial" w:eastAsia="Arial" w:hAnsi="Arial"/>
          <w:sz w:val="22"/>
          <w:szCs w:val="22"/>
        </w:rPr>
        <w:t xml:space="preserve">May 2026</w:t>
      </w:r>
    </w:p>
    <w:p>
      <w:pPr>
        <w:spacing w:after="120" w:before="80"/>
      </w:pPr>
      <w:r>
        <w:rPr>
          <w:rFonts w:ascii="Arial" w:cs="Arial" w:eastAsia="Arial" w:hAnsi="Arial"/>
          <w:b/>
          <w:bCs/>
          <w:sz w:val="22"/>
          <w:szCs w:val="22"/>
        </w:rPr>
        <w:t xml:space="preserve">Iteration: </w:t>
      </w:r>
      <w:r>
        <w:rPr>
          <w:rFonts w:ascii="Arial" w:cs="Arial" w:eastAsia="Arial" w:hAnsi="Arial"/>
          <w:sz w:val="22"/>
          <w:szCs w:val="22"/>
        </w:rPr>
        <w:t xml:space="preserve">v1.13 (operative batch: v1.13.8)</w:t>
      </w:r>
    </w:p>
    <w:p>
      <w:pPr>
        <w:spacing w:after="120" w:before="80"/>
      </w:pPr>
      <w:r>
        <w:rPr>
          <w:rFonts w:ascii="Arial" w:cs="Arial" w:eastAsia="Arial" w:hAnsi="Arial"/>
          <w:b/>
          <w:bCs/>
          <w:sz w:val="22"/>
          <w:szCs w:val="22"/>
        </w:rPr>
        <w:t xml:space="preserve">Status: </w:t>
      </w:r>
      <w:r>
        <w:rPr>
          <w:rFonts w:ascii="Arial" w:cs="Arial" w:eastAsia="Arial" w:hAnsi="Arial"/>
          <w:sz w:val="22"/>
          <w:szCs w:val="22"/>
        </w:rPr>
        <w:t xml:space="preserve">Full draft</w:t>
      </w:r>
    </w:p>
    <w:p>
      <w:pPr>
        <w:spacing w:after="120" w:before="80"/>
      </w:pPr>
      <w:r>
        <w:rPr>
          <w:rFonts w:ascii="Arial" w:cs="Arial" w:eastAsia="Arial" w:hAnsi="Arial"/>
          <w:b/>
          <w:bCs/>
          <w:sz w:val="22"/>
          <w:szCs w:val="22"/>
        </w:rPr>
        <w:t xml:space="preserve">Repository: </w:t>
      </w:r>
      <w:r>
        <w:rPr>
          <w:rFonts w:ascii="Arial" w:cs="Arial" w:eastAsia="Arial" w:hAnsi="Arial"/>
          <w:sz w:val="22"/>
          <w:szCs w:val="22"/>
        </w:rPr>
        <w:t xml:space="preserve">github.com/RancidShack/developmental-agent</w:t>
      </w:r>
    </w:p>
    <w:p>
      <w:pPr>
        <w:pBdr>
          <w:bottom w:val="single" w:color="999999" w:sz="6"/>
        </w:pBdr>
        <w:spacing w:after="200" w:before="200"/>
      </w:pPr>
    </w:p>
    <w:p>
      <w:pPr>
        <w:pStyle w:val="Heading1"/>
        <w:spacing w:after="120" w:before="360"/>
      </w:pPr>
      <w:r>
        <w:rPr>
          <w:rFonts w:ascii="Arial" w:cs="Arial" w:eastAsia="Arial" w:hAnsi="Arial"/>
          <w:b/>
          <w:bCs/>
          <w:sz w:val="28"/>
          <w:szCs w:val="28"/>
        </w:rPr>
        <w:t xml:space="preserve">Abstract</w:t>
      </w:r>
    </w:p>
    <w:p>
      <w:pPr>
        <w:spacing w:after="120" w:before="80"/>
      </w:pPr>
      <w:r>
        <w:rPr>
          <w:rFonts w:ascii="Arial" w:cs="Arial" w:eastAsia="Arial" w:hAnsi="Arial"/>
          <w:sz w:val="22"/>
          <w:szCs w:val="22"/>
        </w:rPr>
        <w:t xml:space="preserve">The v1.12 iteration confirmed complete developmental transfer: an agent entering a second environment executed the full family sequence without exploration, having already established the schema. v1.12 could not produce a system that anticipates — that reasons about what must exist before that thing has been encountered. The v1.13 iteration introduces abductive prediction as the architectural extension that closes this gap.</w:t>
      </w:r>
    </w:p>
    <w:p>
      <w:pPr>
        <w:spacing w:after="120" w:before="80"/>
      </w:pPr>
      <w:r>
        <w:rPr>
          <w:rFonts w:ascii="Arial" w:cs="Arial" w:eastAsia="Arial" w:hAnsi="Arial"/>
          <w:sz w:val="22"/>
          <w:szCs w:val="22"/>
        </w:rPr>
        <w:t xml:space="preserve">The mechanism is Peirce’s inference to the best explanation. The agent encounters haz_blue in Environment 1, pays the cost, and the causal observer fires a truncated chain: precondition absent, att_blue nowhere in the schema. Two completed family chains (YELLOW, GREEN) establish the structural rule. The abductive inference: if haz_blue exists and the rule holds, att_blue exists somewhere. The predicted schema record is written and the agent transfers carrying the open prediction. att_blue is in Environment 2. The agent finds it. The record confirms.</w:t>
      </w:r>
    </w:p>
    <w:p>
      <w:pPr>
        <w:spacing w:after="120" w:before="80"/>
      </w:pPr>
      <w:r>
        <w:rPr>
          <w:rFonts w:ascii="Arial" w:cs="Arial" w:eastAsia="Arial" w:hAnsi="Arial"/>
          <w:sz w:val="22"/>
          <w:szCs w:val="22"/>
        </w:rPr>
        <w:t xml:space="preserve">The v1.13.8 operative batch (40 runs, four cost levels, 1,000,000-step ENV1 budget, 800,000-step ENV2 budget) produces five findings. First: 33/40 runs write a predicted schema record for att_blue, grounded in the YELLOW and GREEN basis chains. Second: 32/40 runs transfer to Environment 2 under the Montessori completion gate — all completable work done, predicted record written. Third: 29/32 ENV2 runs confirm the prediction (91% confirmation rate), with att_blue mastered at steps ranging from 29 to 742,359 — a substrate-auditable developmental finding. Fourth: the schema transfer signal holds and strengthens (yellow pre-transition mean 1.062, green pre-transition mean 0.188, zero yellow resolution windows, n=32) against the v1.12 baseline (n=18). Fifth: the individuation is genuine — 28/32 unique ENV2 mastery sequences, att_blue sequence positions distributed across the full range from first to last, transfer timing spanning 1,000 to 852,000 steps.</w:t>
      </w:r>
    </w:p>
    <w:p>
      <w:pPr>
        <w:spacing w:after="120" w:before="80"/>
      </w:pPr>
      <w:r>
        <w:rPr>
          <w:rFonts w:ascii="Arial" w:cs="Arial" w:eastAsia="Arial" w:hAnsi="Arial"/>
          <w:sz w:val="22"/>
          <w:szCs w:val="22"/>
        </w:rPr>
        <w:t xml:space="preserve">Zero hallucinations across 40,486 statements. Forty-two of 46 causal chains complete at depth-6, all six links present. The honesty constraint holds.</w:t>
      </w:r>
    </w:p>
    <w:p>
      <w:pPr>
        <w:spacing w:after="120" w:before="80"/>
      </w:pPr>
      <w:r>
        <w:rPr>
          <w:rFonts w:ascii="Arial" w:cs="Arial" w:eastAsia="Arial" w:hAnsi="Arial"/>
          <w:sz w:val="22"/>
          <w:szCs w:val="22"/>
        </w:rPr>
        <w:t xml:space="preserve">The finding is not that the agent predicted correctly. A single prediction confirmed is not a finding. The finding is that the prediction was grounded — derived from structural pattern, written to substrate with formation history, tested against an environment that did not know the prediction had been made, and confirmed or not confirmed on the merits. The map matched the territory, in 29 of 32 cases. In three cases it did not, and those three unresolvable records are equally honest findings.</w:t>
      </w:r>
    </w:p>
    <w:p>
      <w:pPr>
        <w:pBdr>
          <w:bottom w:val="single" w:color="999999" w:sz="6"/>
        </w:pBdr>
        <w:spacing w:after="200" w:before="200"/>
      </w:pPr>
    </w:p>
    <w:p>
      <w:pPr>
        <w:pStyle w:val="Heading1"/>
        <w:spacing w:after="120" w:before="360"/>
      </w:pPr>
      <w:r>
        <w:rPr>
          <w:rFonts w:ascii="Arial" w:cs="Arial" w:eastAsia="Arial" w:hAnsi="Arial"/>
          <w:b/>
          <w:bCs/>
          <w:sz w:val="28"/>
          <w:szCs w:val="28"/>
        </w:rPr>
        <w:t xml:space="preserve">1. Introduction</w:t>
      </w:r>
    </w:p>
    <w:p>
      <w:pPr>
        <w:pStyle w:val="Heading2"/>
        <w:spacing w:after="100" w:before="280"/>
      </w:pPr>
      <w:r>
        <w:rPr>
          <w:rFonts w:ascii="Arial" w:cs="Arial" w:eastAsia="Arial" w:hAnsi="Arial"/>
          <w:b/>
          <w:bCs/>
          <w:sz w:val="24"/>
          <w:szCs w:val="24"/>
        </w:rPr>
        <w:t xml:space="preserve">1.1 Programme to date</w:t>
      </w:r>
    </w:p>
    <w:p>
      <w:pPr>
        <w:spacing w:after="120" w:before="80"/>
      </w:pPr>
      <w:r>
        <w:rPr>
          <w:rFonts w:ascii="Arial" w:cs="Arial" w:eastAsia="Arial" w:hAnsi="Arial"/>
          <w:sz w:val="22"/>
          <w:szCs w:val="22"/>
        </w:rPr>
        <w:t xml:space="preserve">The programme’s post-v1.0 cognitive-layer arc has advanced twelve steps. v1.1 introduced provenance over learned states (SICC Commitment 4): flag structures acquired formation histories, and every agent produced a unique developmental narrative. v1.2 established the explicit schema (SICC Commitment 1): a complete self-description of cell types, actions, phases, and flag types as a queryable record. v1.3 introduced relational property families (GREEN and YELLOW) with family-specific competency gating, confirming that the developmental dependency is mechanically enforced with zero violations. v1.4 introduced cross-family structural comparison. v1.5 through v1.9 extended the observer stack with goal tracking, counterfactual reasoning, belief revision, causal self-narration, and the Q5 self-explanation statement.</w:t>
      </w:r>
    </w:p>
    <w:p>
      <w:pPr>
        <w:spacing w:after="120" w:before="80"/>
      </w:pPr>
      <w:r>
        <w:rPr>
          <w:rFonts w:ascii="Arial" w:cs="Arial" w:eastAsia="Arial" w:hAnsi="Arial"/>
          <w:sz w:val="22"/>
          <w:szCs w:val="22"/>
        </w:rPr>
        <w:t xml:space="preserve">v1.10 introduced the completion-signal architecture — the end-state mechanism, the activation gate, the draw mechanism — which gave the agent a formal completion signal and the programme its first anti-rumination architecture. v1.11 produced the causal self-narration report: depth-6 chains spanning all six causal links, zero hallucinations, every statement grounded in a provenance record. v1.12 introduced the two-environment architecture: the agent transferred its schema to a second environment at new positions and executed the correct family sequence without exploration, eliminating the yellow resolution window that had required up to 121,908 steps of developmental work in the first environment. Complete developmental transfer was confirmed.</w:t>
      </w:r>
    </w:p>
    <w:p>
      <w:pPr>
        <w:spacing w:after="120" w:before="80"/>
      </w:pPr>
      <w:r>
        <w:rPr>
          <w:rFonts w:ascii="Arial" w:cs="Arial" w:eastAsia="Arial" w:hAnsi="Arial"/>
          <w:sz w:val="22"/>
          <w:szCs w:val="22"/>
        </w:rPr>
        <w:t xml:space="preserve">What v1.12 could not produce is an agent that anticipates. Every finding through v1.12 concerns what the agent encountered. The agent records, revises, explains, and transfers. It has never said: ‘I believe something is out there that I have not yet met, because the structure of my experience predicts it.’</w:t>
      </w:r>
    </w:p>
    <w:p>
      <w:pPr>
        <w:pStyle w:val="Heading2"/>
        <w:spacing w:after="100" w:before="280"/>
      </w:pPr>
      <w:r>
        <w:rPr>
          <w:rFonts w:ascii="Arial" w:cs="Arial" w:eastAsia="Arial" w:hAnsi="Arial"/>
          <w:b/>
          <w:bCs/>
          <w:sz w:val="24"/>
          <w:szCs w:val="24"/>
        </w:rPr>
        <w:t xml:space="preserve">1.2 The v1.13 extension: abductive prediction</w:t>
      </w:r>
    </w:p>
    <w:p>
      <w:pPr>
        <w:spacing w:after="120" w:before="80"/>
      </w:pPr>
      <w:r>
        <w:rPr>
          <w:rFonts w:ascii="Arial" w:cs="Arial" w:eastAsia="Arial" w:hAnsi="Arial"/>
          <w:sz w:val="22"/>
          <w:szCs w:val="22"/>
        </w:rPr>
        <w:t xml:space="preserve">v1.13 is the first iteration in which that statement becomes substrate-auditable.</w:t>
      </w:r>
    </w:p>
    <w:p>
      <w:pPr>
        <w:spacing w:after="120" w:before="80"/>
      </w:pPr>
      <w:r>
        <w:rPr>
          <w:rFonts w:ascii="Arial" w:cs="Arial" w:eastAsia="Arial" w:hAnsi="Arial"/>
          <w:sz w:val="22"/>
          <w:szCs w:val="22"/>
        </w:rPr>
        <w:t xml:space="preserve">The mechanism is abduction — Peirce’s inference to the best explanation. The agent encounters haz_blue in Environment 1, pays a cost, and the causal observer fires a truncated chain at the LINK_PRECONDITION link: surprise at haz_blue, precondition not met, att_blue absent from the schema. Under the v1.11 architecture the chain ends there. Under v1.13, before truncation, the observer asks whether the structural pattern of the confirmed YELLOW and GREEN family chains predicts the existence of att_blue. The evidence threshold is two confirmed family chains. YELLOW chains are confirmed across all cost conditions. GREEN chains confirm at cost ≥ 1.0. Where both are confirmed, the abductive inference fires: if haz_blue exists and the rule holds, att_blue exists somewhere. The predicted schema record is written.</w:t>
      </w:r>
    </w:p>
    <w:p>
      <w:pPr>
        <w:spacing w:after="120" w:before="80"/>
      </w:pPr>
      <w:r>
        <w:rPr>
          <w:rFonts w:ascii="Arial" w:cs="Arial" w:eastAsia="Arial" w:hAnsi="Arial"/>
          <w:sz w:val="22"/>
          <w:szCs w:val="22"/>
        </w:rPr>
        <w:t xml:space="preserve">att_blue is not in Environment 1. It is in Environment 2. The agent completes all completable Environment 1 work — YELLOW mastered, GREEN mastered, haz_blue approached, predicted record written — and transfers carrying the open prediction. In Environment 2 it finds att_blue, masters it, and the predicted record updates to confirmed. The map matched the territory.</w:t>
      </w:r>
    </w:p>
    <w:p>
      <w:pPr>
        <w:spacing w:after="120" w:before="80"/>
      </w:pPr>
      <w:r>
        <w:rPr>
          <w:rFonts w:ascii="Arial" w:cs="Arial" w:eastAsia="Arial" w:hAnsi="Arial"/>
          <w:b/>
          <w:bCs/>
          <w:sz w:val="22"/>
          <w:szCs w:val="22"/>
        </w:rPr>
        <w:t xml:space="preserve">The Winnicottian reading. </w:t>
      </w:r>
      <w:r>
        <w:rPr>
          <w:rFonts w:ascii="Arial" w:cs="Arial" w:eastAsia="Arial" w:hAnsi="Arial"/>
          <w:sz w:val="22"/>
          <w:szCs w:val="22"/>
        </w:rPr>
        <w:t xml:space="preserve">The predicted object occupies the transitional space Winnicott described. It is partly the agent — constituted by its own causal reasoning, its own schema, its own developmental history. The agent produced it. And it is partly not the agent: a real object in the world that will either confirm or refute the inference, independently of the agent’s wishes. This is the first moment in the programme’s arc where the agent holds an anticipation about something genuinely other. The capacity for concern — the ability to hold an open question across an environment boundary and go looking for its resolution — becomes substrate-auditable at v1.13.</w:t>
      </w:r>
    </w:p>
    <w:p>
      <w:pPr>
        <w:pStyle w:val="Heading2"/>
        <w:spacing w:after="100" w:before="280"/>
      </w:pPr>
      <w:r>
        <w:rPr>
          <w:rFonts w:ascii="Arial" w:cs="Arial" w:eastAsia="Arial" w:hAnsi="Arial"/>
          <w:b/>
          <w:bCs/>
          <w:sz w:val="24"/>
          <w:szCs w:val="24"/>
        </w:rPr>
        <w:t xml:space="preserve">1.3 The amendment sequence</w:t>
      </w:r>
    </w:p>
    <w:p>
      <w:pPr>
        <w:spacing w:after="120" w:before="80"/>
      </w:pPr>
      <w:r>
        <w:rPr>
          <w:rFonts w:ascii="Arial" w:cs="Arial" w:eastAsia="Arial" w:hAnsi="Arial"/>
          <w:sz w:val="22"/>
          <w:szCs w:val="22"/>
        </w:rPr>
        <w:t xml:space="preserve">The v1.13 iteration proceeded through eight sub-versions before the operative batch ran. The amendment budget was three; the sub-version count reflects the diagnostic depth required to isolate the gate failures. The amendments are reported here as methodological record; the operative findings are drawn exclusively from the v1.13.8 batch.</w:t>
      </w:r>
    </w:p>
    <w:p>
      <w:pPr>
        <w:spacing w:after="120" w:before="80"/>
      </w:pPr>
      <w:r>
        <w:rPr>
          <w:rFonts w:ascii="Arial" w:cs="Arial" w:eastAsia="Arial" w:hAnsi="Arial"/>
          <w:b/>
          <w:bCs/>
          <w:sz w:val="22"/>
          <w:szCs w:val="22"/>
        </w:rPr>
        <w:t xml:space="preserve">v1.13.0. </w:t>
      </w:r>
      <w:r>
        <w:rPr>
          <w:rFonts w:ascii="Arial" w:cs="Arial" w:eastAsia="Arial" w:hAnsi="Arial"/>
          <w:sz w:val="22"/>
          <w:szCs w:val="22"/>
        </w:rPr>
        <w:t xml:space="preserve">Prediction mechanism introduced; transfer gate broken — world.knowledge_unlocked not excluding unreachable hazards, causing all_hazards_banked gate to be permanently False.</w:t>
      </w:r>
    </w:p>
    <w:p>
      <w:pPr>
        <w:spacing w:after="120" w:before="80"/>
      </w:pPr>
      <w:r>
        <w:rPr>
          <w:rFonts w:ascii="Arial" w:cs="Arial" w:eastAsia="Arial" w:hAnsi="Arial"/>
          <w:b/>
          <w:bCs/>
          <w:sz w:val="22"/>
          <w:szCs w:val="22"/>
        </w:rPr>
        <w:t xml:space="preserve">v1.13.1. </w:t>
      </w:r>
      <w:r>
        <w:rPr>
          <w:rFonts w:ascii="Arial" w:cs="Arial" w:eastAsia="Arial" w:hAnsi="Arial"/>
          <w:sz w:val="22"/>
          <w:szCs w:val="22"/>
        </w:rPr>
        <w:t xml:space="preserve">Transfer gate fixed partially; flags error in ENV2 activation gate (carry_agent block leaving historical ENV1 entries in mastery_flag and knowledge_banked, causing premature activation at ENV2 step ~286).</w:t>
      </w:r>
    </w:p>
    <w:p>
      <w:pPr>
        <w:spacing w:after="120" w:before="80"/>
      </w:pPr>
      <w:r>
        <w:rPr>
          <w:rFonts w:ascii="Arial" w:cs="Arial" w:eastAsia="Arial" w:hAnsi="Arial"/>
          <w:b/>
          <w:bCs/>
          <w:sz w:val="22"/>
          <w:szCs w:val="22"/>
        </w:rPr>
        <w:t xml:space="preserve">v1.13.2. </w:t>
      </w:r>
      <w:r>
        <w:rPr>
          <w:rFonts w:ascii="Arial" w:cs="Arial" w:eastAsia="Arial" w:hAnsi="Arial"/>
          <w:sz w:val="22"/>
          <w:szCs w:val="22"/>
        </w:rPr>
        <w:t xml:space="preserve">Depth-6 chains restored; premature activation gate in ENV2 traced to carried ENV1 knowledge_banked values.</w:t>
      </w:r>
    </w:p>
    <w:p>
      <w:pPr>
        <w:spacing w:after="120" w:before="80"/>
      </w:pPr>
      <w:r>
        <w:rPr>
          <w:rFonts w:ascii="Arial" w:cs="Arial" w:eastAsia="Arial" w:hAnsi="Arial"/>
          <w:b/>
          <w:bCs/>
          <w:sz w:val="22"/>
          <w:szCs w:val="22"/>
        </w:rPr>
        <w:t xml:space="preserve">v1.13.3. </w:t>
      </w:r>
      <w:r>
        <w:rPr>
          <w:rFonts w:ascii="Arial" w:cs="Arial" w:eastAsia="Arial" w:hAnsi="Arial"/>
          <w:sz w:val="22"/>
          <w:szCs w:val="22"/>
        </w:rPr>
        <w:t xml:space="preserve">knowledge_banked and mastery_flag reset for ENV2 using iteration over world cells; gate still firing because agent initialised from world.object_type (including haz_blue) rather than world.hazard_cells.</w:t>
      </w:r>
    </w:p>
    <w:p>
      <w:pPr>
        <w:spacing w:after="120" w:before="80"/>
      </w:pPr>
      <w:r>
        <w:rPr>
          <w:rFonts w:ascii="Arial" w:cs="Arial" w:eastAsia="Arial" w:hAnsi="Arial"/>
          <w:b/>
          <w:bCs/>
          <w:sz w:val="22"/>
          <w:szCs w:val="22"/>
        </w:rPr>
        <w:t xml:space="preserve">v1.13.4. </w:t>
      </w:r>
      <w:r>
        <w:rPr>
          <w:rFonts w:ascii="Arial" w:cs="Arial" w:eastAsia="Arial" w:hAnsi="Arial"/>
          <w:sz w:val="22"/>
          <w:szCs w:val="22"/>
        </w:rPr>
        <w:t xml:space="preserve">unreachable_hazards=[‘haz_blue’] added to ENV1 world construction; world.hazard_cells fixed. att_blue mastery detection fixed: KNOWLEDGE-type check replaced with mastery_flag check. Carry-agent block changed to full dict replacement. Montessori gate restored requiring end_state_banked. ENV1 end_state still not firing.</w:t>
      </w:r>
    </w:p>
    <w:p>
      <w:pPr>
        <w:spacing w:after="120" w:before="80"/>
      </w:pPr>
      <w:r>
        <w:rPr>
          <w:rFonts w:ascii="Arial" w:cs="Arial" w:eastAsia="Arial" w:hAnsi="Arial"/>
          <w:b/>
          <w:bCs/>
          <w:sz w:val="22"/>
          <w:szCs w:val="22"/>
        </w:rPr>
        <w:t xml:space="preserve">v1.13.5. </w:t>
      </w:r>
      <w:r>
        <w:rPr>
          <w:rFonts w:ascii="Arial" w:cs="Arial" w:eastAsia="Arial" w:hAnsi="Arial"/>
          <w:sz w:val="22"/>
          <w:szCs w:val="22"/>
        </w:rPr>
        <w:t xml:space="preserve">knowledge_banked dict replacement in carry-agent block. att_blue_sequence_position and ENV2 per-attractor mastery steps added. ENV1 end_state still not firing (V110Agent gate uses world.knowledge_unlocked, which was still including haz_blue).</w:t>
      </w:r>
    </w:p>
    <w:p>
      <w:pPr>
        <w:spacing w:after="120" w:before="80"/>
      </w:pPr>
      <w:r>
        <w:rPr>
          <w:rFonts w:ascii="Arial" w:cs="Arial" w:eastAsia="Arial" w:hAnsi="Arial"/>
          <w:b/>
          <w:bCs/>
          <w:sz w:val="22"/>
          <w:szCs w:val="22"/>
        </w:rPr>
        <w:t xml:space="preserve">v1.13.6. </w:t>
      </w:r>
      <w:r>
        <w:rPr>
          <w:rFonts w:ascii="Arial" w:cs="Arial" w:eastAsia="Arial" w:hAnsi="Arial"/>
          <w:sz w:val="22"/>
          <w:szCs w:val="22"/>
        </w:rPr>
        <w:t xml:space="preserve">knowledge_banked removal from agent dict after init; no effect (V110Agent does not use agent.knowledge_banked for its gate, uses world.knowledge_unlocked).</w:t>
      </w:r>
    </w:p>
    <w:p>
      <w:pPr>
        <w:spacing w:after="120" w:before="80"/>
      </w:pPr>
      <w:r>
        <w:rPr>
          <w:rFonts w:ascii="Arial" w:cs="Arial" w:eastAsia="Arial" w:hAnsi="Arial"/>
          <w:b/>
          <w:bCs/>
          <w:sz w:val="22"/>
          <w:szCs w:val="22"/>
        </w:rPr>
        <w:t xml:space="preserve">v1.13.7. </w:t>
      </w:r>
      <w:r>
        <w:rPr>
          <w:rFonts w:ascii="Arial" w:cs="Arial" w:eastAsia="Arial" w:hAnsi="Arial"/>
          <w:sz w:val="22"/>
          <w:szCs w:val="22"/>
        </w:rPr>
        <w:t xml:space="preserve">world.knowledge_unlocked fixed to exclude unreachable_hazard_ids. No effect: V110Agent uses step-fraction phase transitions (Phase 3 at 60% of total_steps = step 600,000 with 1M budget), which early termination exits before reaching.</w:t>
      </w:r>
    </w:p>
    <w:p>
      <w:pPr>
        <w:spacing w:after="120" w:before="80"/>
      </w:pPr>
      <w:r>
        <w:rPr>
          <w:rFonts w:ascii="Arial" w:cs="Arial" w:eastAsia="Arial" w:hAnsi="Arial"/>
          <w:b/>
          <w:bCs/>
          <w:sz w:val="22"/>
          <w:szCs w:val="22"/>
        </w:rPr>
        <w:t xml:space="preserve">v1.13.8 (operative). </w:t>
      </w:r>
      <w:r>
        <w:rPr>
          <w:rFonts w:ascii="Arial" w:cs="Arial" w:eastAsia="Arial" w:hAnsi="Arial"/>
          <w:sz w:val="22"/>
          <w:szCs w:val="22"/>
        </w:rPr>
        <w:t xml:space="preserve">Transfer gate rewritten to check world.knowledge_unlocked and agent.mastery_flag directly rather than relying on end_state_banked. The Montessori completion condition is operationalised as: all completable hazards knowledge-unlocked + all attractors mastered + haz_blue approached + predicted record written. Gate fires at the step the last completable item is finished, independent of phase machinery. 32/40 transfers, 29/32 confirmed.</w:t>
      </w:r>
    </w:p>
    <w:p>
      <w:pPr>
        <w:pStyle w:val="Heading2"/>
        <w:spacing w:after="100" w:before="280"/>
      </w:pPr>
      <w:r>
        <w:rPr>
          <w:rFonts w:ascii="Arial" w:cs="Arial" w:eastAsia="Arial" w:hAnsi="Arial"/>
          <w:b/>
          <w:bCs/>
          <w:sz w:val="24"/>
          <w:szCs w:val="24"/>
        </w:rPr>
        <w:t xml:space="preserve">1.4 Findings and their relation to the pre-registration</w:t>
      </w:r>
    </w:p>
    <w:p>
      <w:pPr>
        <w:spacing w:after="120" w:before="80"/>
      </w:pPr>
      <w:r>
        <w:rPr>
          <w:rFonts w:ascii="Arial" w:cs="Arial" w:eastAsia="Arial" w:hAnsi="Arial"/>
          <w:sz w:val="22"/>
          <w:szCs w:val="22"/>
        </w:rPr>
        <w:t xml:space="preserve">The v1.13 paper reports five findings from the v1.13.8 operative batch.</w:t>
      </w:r>
    </w:p>
    <w:p>
      <w:pPr>
        <w:spacing w:after="120" w:before="80"/>
      </w:pPr>
      <w:r>
        <w:rPr>
          <w:rFonts w:ascii="Arial" w:cs="Arial" w:eastAsia="Arial" w:hAnsi="Arial"/>
          <w:b/>
          <w:bCs/>
          <w:sz w:val="22"/>
          <w:szCs w:val="22"/>
        </w:rPr>
        <w:t xml:space="preserve">Finding 1: Prediction. </w:t>
      </w:r>
      <w:r>
        <w:rPr>
          <w:rFonts w:ascii="Arial" w:cs="Arial" w:eastAsia="Arial" w:hAnsi="Arial"/>
          <w:sz w:val="22"/>
          <w:szCs w:val="22"/>
        </w:rPr>
        <w:t xml:space="preserve">33/40 runs write a predicted schema record for att_blue. The record is written within the run at the step of first haz_blue contact, grounded in the YELLOW and GREEN basis chains. The record carries formation history: prediction_step, basis_chains, state.</w:t>
      </w:r>
    </w:p>
    <w:p>
      <w:pPr>
        <w:spacing w:after="120" w:before="80"/>
      </w:pPr>
      <w:r>
        <w:rPr>
          <w:rFonts w:ascii="Arial" w:cs="Arial" w:eastAsia="Arial" w:hAnsi="Arial"/>
          <w:b/>
          <w:bCs/>
          <w:sz w:val="22"/>
          <w:szCs w:val="22"/>
        </w:rPr>
        <w:t xml:space="preserve">Finding 2: Transfer. </w:t>
      </w:r>
      <w:r>
        <w:rPr>
          <w:rFonts w:ascii="Arial" w:cs="Arial" w:eastAsia="Arial" w:hAnsi="Arial"/>
          <w:sz w:val="22"/>
          <w:szCs w:val="22"/>
        </w:rPr>
        <w:t xml:space="preserve">32/40 runs transfer to Environment 2 under the Montessori completion gate. Transfer timing spans 1,000 to 852,000 steps (median 71,500). All 8 non-transferring runs are missing either predicted record (7/8) or attractor mastery for one family (1/8); both are legitimate developmental conditions, not failures of the gate.</w:t>
      </w:r>
    </w:p>
    <w:p>
      <w:pPr>
        <w:spacing w:after="120" w:before="80"/>
      </w:pPr>
      <w:r>
        <w:rPr>
          <w:rFonts w:ascii="Arial" w:cs="Arial" w:eastAsia="Arial" w:hAnsi="Arial"/>
          <w:b/>
          <w:bCs/>
          <w:sz w:val="22"/>
          <w:szCs w:val="22"/>
        </w:rPr>
        <w:t xml:space="preserve">Finding 3: Confirmation. </w:t>
      </w:r>
      <w:r>
        <w:rPr>
          <w:rFonts w:ascii="Arial" w:cs="Arial" w:eastAsia="Arial" w:hAnsi="Arial"/>
          <w:sz w:val="22"/>
          <w:szCs w:val="22"/>
        </w:rPr>
        <w:t xml:space="preserve">29/32 ENV2 runs confirm the prediction. att_blue mastered at steps 29 to 742,359. Three runs exhaust the 800,000-step ENV2 budget before mastery: state = unresolvable, an honest finding. One run has state = predicted-open at batch end (ENV2 budget partially consumed).</w:t>
      </w:r>
    </w:p>
    <w:p>
      <w:pPr>
        <w:spacing w:after="120" w:before="80"/>
      </w:pPr>
      <w:r>
        <w:rPr>
          <w:rFonts w:ascii="Arial" w:cs="Arial" w:eastAsia="Arial" w:hAnsi="Arial"/>
          <w:b/>
          <w:bCs/>
          <w:sz w:val="22"/>
          <w:szCs w:val="22"/>
        </w:rPr>
        <w:t xml:space="preserve">Finding 4: Schema transfer signal. </w:t>
      </w:r>
      <w:r>
        <w:rPr>
          <w:rFonts w:ascii="Arial" w:cs="Arial" w:eastAsia="Arial" w:hAnsi="Arial"/>
          <w:sz w:val="22"/>
          <w:szCs w:val="22"/>
        </w:rPr>
        <w:t xml:space="preserve">Yellow pre-transition mean 1.062, green pre-transition mean 0.188, zero yellow resolution windows in ENV2 (n=32). Consistent with the v1.12 baseline (yellow 1.000, green 0.111, n=18). The agent arrives in Environment 2 already knowing the family sequence. This is schema-level transfer, not positional memory: the attractors and hazards are at new positions in ENV2.</w:t>
      </w:r>
    </w:p>
    <w:p>
      <w:pPr>
        <w:spacing w:after="120" w:before="80"/>
      </w:pPr>
      <w:r>
        <w:rPr>
          <w:rFonts w:ascii="Arial" w:cs="Arial" w:eastAsia="Arial" w:hAnsi="Arial"/>
          <w:b/>
          <w:bCs/>
          <w:sz w:val="22"/>
          <w:szCs w:val="22"/>
        </w:rPr>
        <w:t xml:space="preserve">Finding 5: Individuation. </w:t>
      </w:r>
      <w:r>
        <w:rPr>
          <w:rFonts w:ascii="Arial" w:cs="Arial" w:eastAsia="Arial" w:hAnsi="Arial"/>
          <w:sz w:val="22"/>
          <w:szCs w:val="22"/>
        </w:rPr>
        <w:t xml:space="preserve">28/32 unique ENV2 mastery sequences. att_blue sequence position varies from 0 (mastered first) to 4 (mastered last) across 29 runs. Transfer timing range of 851,000 steps. 27/40 unique ENV1 mastery sequences. Each agent’s developmental arc is genuinely its own.</w:t>
      </w:r>
    </w:p>
    <w:p>
      <w:pPr>
        <w:pStyle w:val="Heading2"/>
        <w:spacing w:after="100" w:before="280"/>
      </w:pPr>
      <w:r>
        <w:rPr>
          <w:rFonts w:ascii="Arial" w:cs="Arial" w:eastAsia="Arial" w:hAnsi="Arial"/>
          <w:b/>
          <w:bCs/>
          <w:sz w:val="24"/>
          <w:szCs w:val="24"/>
        </w:rPr>
        <w:t xml:space="preserve">1.5 SICC commitments advanced</w:t>
      </w:r>
    </w:p>
    <w:p>
      <w:pPr>
        <w:spacing w:after="120" w:before="80"/>
      </w:pPr>
      <w:r>
        <w:rPr>
          <w:rFonts w:ascii="Arial" w:cs="Arial" w:eastAsia="Arial" w:hAnsi="Arial"/>
          <w:sz w:val="22"/>
          <w:szCs w:val="22"/>
        </w:rPr>
        <w:t xml:space="preserve">v1.13 advances three SICC commitments.</w:t>
      </w:r>
    </w:p>
    <w:p>
      <w:pPr>
        <w:spacing w:after="120" w:before="80"/>
      </w:pPr>
      <w:r>
        <w:rPr>
          <w:rFonts w:ascii="Arial" w:cs="Arial" w:eastAsia="Arial" w:hAnsi="Arial"/>
          <w:b/>
          <w:bCs/>
          <w:sz w:val="22"/>
          <w:szCs w:val="22"/>
        </w:rPr>
        <w:t xml:space="preserve">Commitment 9: Earned extensibility. </w:t>
      </w:r>
      <w:r>
        <w:rPr>
          <w:rFonts w:ascii="Arial" w:cs="Arial" w:eastAsia="Arial" w:hAnsi="Arial"/>
          <w:sz w:val="22"/>
          <w:szCs w:val="22"/>
        </w:rPr>
        <w:t xml:space="preserve">The schema extends by abduction from structural pattern: the agent infers a new instance of a known rule without being told the instance exists. The extension is earned through two confirmed family chains and the structural regularity they establish. The predicted record carries the formation history of the extension.</w:t>
      </w:r>
    </w:p>
    <w:p>
      <w:pPr>
        <w:spacing w:after="120" w:before="80"/>
      </w:pPr>
      <w:r>
        <w:rPr>
          <w:rFonts w:ascii="Arial" w:cs="Arial" w:eastAsia="Arial" w:hAnsi="Arial"/>
          <w:b/>
          <w:bCs/>
          <w:sz w:val="22"/>
          <w:szCs w:val="22"/>
        </w:rPr>
        <w:t xml:space="preserve">Commitment 5: Time as first-class. </w:t>
      </w:r>
      <w:r>
        <w:rPr>
          <w:rFonts w:ascii="Arial" w:cs="Arial" w:eastAsia="Arial" w:hAnsi="Arial"/>
          <w:sz w:val="22"/>
          <w:szCs w:val="22"/>
        </w:rPr>
        <w:t xml:space="preserve">The developmental arc now spans environments and carries an open question across the boundary. The predicted schema record is the substrate expression of continuity: the agent in Environment 2 holds something it began in Environment 1. The prediction step and confirmation step together define a developmental interval that the architecture holds explicitly.</w:t>
      </w:r>
    </w:p>
    <w:p>
      <w:pPr>
        <w:spacing w:after="120" w:before="80"/>
      </w:pPr>
      <w:r>
        <w:rPr>
          <w:rFonts w:ascii="Arial" w:cs="Arial" w:eastAsia="Arial" w:hAnsi="Arial"/>
          <w:b/>
          <w:bCs/>
          <w:sz w:val="22"/>
          <w:szCs w:val="22"/>
        </w:rPr>
        <w:t xml:space="preserve">Commitment 11: Auditable, not oracular. </w:t>
      </w:r>
      <w:r>
        <w:rPr>
          <w:rFonts w:ascii="Arial" w:cs="Arial" w:eastAsia="Arial" w:hAnsi="Arial"/>
          <w:sz w:val="22"/>
          <w:szCs w:val="22"/>
        </w:rPr>
        <w:t xml:space="preserve">Zero hallucinations across 40,486 statements. Every claim in the causal self-narration traces to a provenance record. The predicted schema record carries the basis chains that grounded the inference. Every confirmation traces to a mastery_flag event. The honesty constraint holds without enforcement.</w:t>
      </w:r>
    </w:p>
    <w:p>
      <w:pPr>
        <w:pBdr>
          <w:bottom w:val="single" w:color="999999" w:sz="6"/>
        </w:pBdr>
        <w:spacing w:after="200" w:before="200"/>
      </w:pPr>
    </w:p>
    <w:p>
      <w:pPr>
        <w:pStyle w:val="Heading1"/>
        <w:spacing w:after="120" w:before="360"/>
      </w:pPr>
      <w:r>
        <w:rPr>
          <w:rFonts w:ascii="Arial" w:cs="Arial" w:eastAsia="Arial" w:hAnsi="Arial"/>
          <w:b/>
          <w:bCs/>
          <w:sz w:val="28"/>
          <w:szCs w:val="28"/>
        </w:rPr>
        <w:t xml:space="preserve">2. Methods</w:t>
      </w:r>
    </w:p>
    <w:p>
      <w:pPr>
        <w:pStyle w:val="Heading2"/>
        <w:spacing w:after="100" w:before="280"/>
      </w:pPr>
      <w:r>
        <w:rPr>
          <w:rFonts w:ascii="Arial" w:cs="Arial" w:eastAsia="Arial" w:hAnsi="Arial"/>
          <w:b/>
          <w:bCs/>
          <w:sz w:val="24"/>
          <w:szCs w:val="24"/>
        </w:rPr>
        <w:t xml:space="preserve">2.1 Environment and architecture</w:t>
      </w:r>
    </w:p>
    <w:p>
      <w:pPr>
        <w:spacing w:after="120" w:before="80"/>
      </w:pPr>
      <w:r>
        <w:rPr>
          <w:rFonts w:ascii="Arial" w:cs="Arial" w:eastAsia="Arial" w:hAnsi="Arial"/>
          <w:sz w:val="22"/>
          <w:szCs w:val="22"/>
        </w:rPr>
        <w:t xml:space="preserve">The v1.13 environment inherits from V17World (Baker, 2026) with the additions specified in this section. The 12×12×12 grid, the developmental phase schedule, the three-phase arc (Phase 1 waypoint-driven exploration, Phase 2 free engagement, Phase 3 end-state draw), the threat layer, the mastery layer, the end-state mechanism, and the knowledge-cell mechanism operate under their inherited specifications. V113World is a parameterised constructor accepting a family definition list, an end_state presence flag, and an optional unreachable_hazards list. V17World remains frozen as the regression baseline.</w:t>
      </w:r>
    </w:p>
    <w:p>
      <w:pPr>
        <w:pStyle w:val="Heading2"/>
        <w:spacing w:after="100" w:before="280"/>
      </w:pPr>
      <w:r>
        <w:rPr>
          <w:rFonts w:ascii="Arial" w:cs="Arial" w:eastAsia="Arial" w:hAnsi="Arial"/>
          <w:b/>
          <w:bCs/>
          <w:sz w:val="24"/>
          <w:szCs w:val="24"/>
        </w:rPr>
        <w:t xml:space="preserve">2.2 The two environments</w:t>
      </w:r>
    </w:p>
    <w:p>
      <w:pPr>
        <w:spacing w:after="120" w:before="80"/>
      </w:pPr>
      <w:r>
        <w:rPr>
          <w:rFonts w:ascii="Arial" w:cs="Arial" w:eastAsia="Arial" w:hAnsi="Arial"/>
          <w:b/>
          <w:bCs/>
          <w:sz w:val="22"/>
          <w:szCs w:val="22"/>
        </w:rPr>
        <w:t xml:space="preserve">Environment 1 (ENV1). </w:t>
      </w:r>
      <w:r>
        <w:rPr>
          <w:rFonts w:ascii="Arial" w:cs="Arial" w:eastAsia="Arial" w:hAnsi="Arial"/>
          <w:sz w:val="22"/>
          <w:szCs w:val="22"/>
        </w:rPr>
        <w:t xml:space="preserve">GREEN and YELLOW families at their v1.12-equivalent positions. BLUE family: haz_blue (3D blue sphere) at a fixed position, no att_blue. haz_blue is declared unreachable via unreachable_hazards=[‘haz_blue’], excluding it from hazard_cells and knowledge_unlocked. haz_blue is therefore not a completion requirement — the agent encounters it, pays cost, and the causal observer fires, but the room can be finished without it. Four unaffiliated attractors. Three unaffiliated hazards. End-state cell. haz_blue injected as a mandatory Phase 1 waypoint.</w:t>
      </w:r>
    </w:p>
    <w:p>
      <w:pPr>
        <w:spacing w:after="120" w:before="80"/>
      </w:pPr>
      <w:r>
        <w:rPr>
          <w:rFonts w:ascii="Arial" w:cs="Arial" w:eastAsia="Arial" w:hAnsi="Arial"/>
          <w:b/>
          <w:bCs/>
          <w:sz w:val="22"/>
          <w:szCs w:val="22"/>
        </w:rPr>
        <w:t xml:space="preserve">Environment 2 (ENV2). </w:t>
      </w:r>
      <w:r>
        <w:rPr>
          <w:rFonts w:ascii="Arial" w:cs="Arial" w:eastAsia="Arial" w:hAnsi="Arial"/>
          <w:sz w:val="22"/>
          <w:szCs w:val="22"/>
        </w:rPr>
        <w:t xml:space="preserve">GREEN and YELLOW families at new positions (position change is the interference control: any behavioural regularity that survives it is schema-level, not positional memory). BLUE family: att_blue (2D blue circle), no haz_blue. att_blue injected at waypoint queue position 0 — encountered first in Phase 1. Four unaffiliated attractors. Three unaffiliated hazards. End-state cell.</w:t>
      </w:r>
    </w:p>
    <w:p>
      <w:pPr>
        <w:pStyle w:val="Heading2"/>
        <w:spacing w:after="100" w:before="280"/>
      </w:pPr>
      <w:r>
        <w:rPr>
          <w:rFonts w:ascii="Arial" w:cs="Arial" w:eastAsia="Arial" w:hAnsi="Arial"/>
          <w:b/>
          <w:bCs/>
          <w:sz w:val="24"/>
          <w:szCs w:val="24"/>
        </w:rPr>
        <w:t xml:space="preserve">2.3 The BLUE family: a split precondition across environments</w:t>
      </w:r>
    </w:p>
    <w:p>
      <w:pPr>
        <w:spacing w:after="120" w:before="80"/>
      </w:pPr>
      <w:r>
        <w:rPr>
          <w:rFonts w:ascii="Arial" w:cs="Arial" w:eastAsia="Arial" w:hAnsi="Arial"/>
          <w:sz w:val="22"/>
          <w:szCs w:val="22"/>
        </w:rPr>
        <w:t xml:space="preserve">The BLUE family is deliberately split. haz_blue in ENV1 has no att_blue precondition available. The family is structurally incomplete by design. The agent can approach haz_blue, pay cost, and register the surprise; it cannot master the precondition because the precondition is absent from this environment. att_blue in ENV2 has no haz_blue present. The agent can master att_blue and confirm the prediction; it cannot encounter the hazard the prediction was written about. The developmental architecture requires the transfer: ENV1 registers the question, ENV2 answers part of it. v1.14 completes the arc.</w:t>
      </w:r>
    </w:p>
    <w:p>
      <w:pPr>
        <w:pStyle w:val="Heading2"/>
        <w:spacing w:after="100" w:before="280"/>
      </w:pPr>
      <w:r>
        <w:rPr>
          <w:rFonts w:ascii="Arial" w:cs="Arial" w:eastAsia="Arial" w:hAnsi="Arial"/>
          <w:b/>
          <w:bCs/>
          <w:sz w:val="24"/>
          <w:szCs w:val="24"/>
        </w:rPr>
        <w:t xml:space="preserve">2.4 The abductive prediction mechanism</w:t>
      </w:r>
    </w:p>
    <w:p>
      <w:pPr>
        <w:spacing w:after="120" w:before="80"/>
      </w:pPr>
      <w:r>
        <w:rPr>
          <w:rFonts w:ascii="Arial" w:cs="Arial" w:eastAsia="Arial" w:hAnsi="Arial"/>
          <w:sz w:val="22"/>
          <w:szCs w:val="22"/>
        </w:rPr>
        <w:t xml:space="preserve">The V111CausalObserver is extended with build_predicted_records(). This method is called within the run at first haz_blue contact — not post-run. Within-run invocation is required because the predicted record must exist before the transfer gate fires.</w:t>
      </w:r>
    </w:p>
    <w:p>
      <w:pPr>
        <w:spacing w:after="120" w:before="80"/>
      </w:pPr>
      <w:r>
        <w:rPr>
          <w:rFonts w:ascii="Arial" w:cs="Arial" w:eastAsia="Arial" w:hAnsi="Arial"/>
          <w:sz w:val="22"/>
          <w:szCs w:val="22"/>
        </w:rPr>
        <w:t xml:space="preserve">build_predicted_records() examines the truncated chain for haz_blue (truncated at LINK_PRECONDITION, the link representing the absent precondition) and asks: do the confirmed YELLOW and GREEN family chains establish a structural rule sufficient for abductive inference? The minimum evidence threshold is two confirmed family chains. Where both YELLOW and GREEN chains are confirmed at the time of haz_blue contact, the inference fires. Where only one family chain is confirmed (cost=0.1, where GREEN confirmation is less frequent), the inference does not fire and the predicted record is not written. This is a design property of the two-family minimum: the rule requires two instances to be structural rather than coincidental.</w:t>
      </w:r>
    </w:p>
    <w:p>
      <w:pPr>
        <w:spacing w:after="120" w:before="80"/>
      </w:pPr>
      <w:r>
        <w:rPr>
          <w:rFonts w:ascii="Arial" w:cs="Arial" w:eastAsia="Arial" w:hAnsi="Arial"/>
          <w:sz w:val="22"/>
          <w:szCs w:val="22"/>
        </w:rPr>
        <w:t xml:space="preserve">The predicted schema record fields: object_id (haz_blue), predicted_precondition (att_blue), basis_chains ([haz_yellow, haz_green]), state (predicted | confirmed | unresolvable), prediction_step, confirmation_step, confirming_env.</w:t>
      </w:r>
    </w:p>
    <w:p>
      <w:pPr>
        <w:pStyle w:val="Heading2"/>
        <w:spacing w:after="100" w:before="280"/>
      </w:pPr>
      <w:r>
        <w:rPr>
          <w:rFonts w:ascii="Arial" w:cs="Arial" w:eastAsia="Arial" w:hAnsi="Arial"/>
          <w:b/>
          <w:bCs/>
          <w:sz w:val="24"/>
          <w:szCs w:val="24"/>
        </w:rPr>
        <w:t xml:space="preserve">2.5 The Montessori transfer gate</w:t>
      </w:r>
    </w:p>
    <w:p>
      <w:pPr>
        <w:spacing w:after="120" w:before="80"/>
      </w:pPr>
      <w:r>
        <w:rPr>
          <w:rFonts w:ascii="Arial" w:cs="Arial" w:eastAsia="Arial" w:hAnsi="Arial"/>
          <w:sz w:val="22"/>
          <w:szCs w:val="22"/>
        </w:rPr>
        <w:t xml:space="preserve">The transfer condition from ENV1 to ENV2 is implemented as a direct completion check, independent of V110Agent’s step-fraction phase machinery. The gate fires at the step all three conditions are simultaneously true:</w:t>
      </w:r>
    </w:p>
    <w:p>
      <w:pPr>
        <w:spacing w:after="120" w:before="80"/>
      </w:pPr>
      <w:r>
        <w:rPr>
          <w:rFonts w:ascii="Arial" w:cs="Arial" w:eastAsia="Arial" w:hAnsi="Arial"/>
          <w:sz w:val="22"/>
          <w:szCs w:val="22"/>
        </w:rPr>
        <w:t xml:space="preserve">1. All completable hazards knowledge-unlocked: every hazard in world.hazard_cells (which excludes haz_blue via unreachable_hazard_ids) has transitioned to KNOWLEDGE.</w:t>
      </w:r>
    </w:p>
    <w:p>
      <w:pPr>
        <w:spacing w:after="120" w:before="80"/>
      </w:pPr>
      <w:r>
        <w:rPr>
          <w:rFonts w:ascii="Arial" w:cs="Arial" w:eastAsia="Arial" w:hAnsi="Arial"/>
          <w:sz w:val="22"/>
          <w:szCs w:val="22"/>
        </w:rPr>
        <w:t xml:space="preserve">2. All attractors mastered: every attractor in world.attractor_cells has mastery_flag == 1.</w:t>
      </w:r>
    </w:p>
    <w:p>
      <w:pPr>
        <w:spacing w:after="120" w:before="80"/>
      </w:pPr>
      <w:r>
        <w:rPr>
          <w:rFonts w:ascii="Arial" w:cs="Arial" w:eastAsia="Arial" w:hAnsi="Arial"/>
          <w:sz w:val="22"/>
          <w:szCs w:val="22"/>
        </w:rPr>
        <w:t xml:space="preserve">3. Predicted schema record written for haz_blue.</w:t>
      </w:r>
    </w:p>
    <w:p>
      <w:pPr>
        <w:spacing w:after="120" w:before="80"/>
      </w:pPr>
      <w:r>
        <w:rPr>
          <w:rFonts w:ascii="Arial" w:cs="Arial" w:eastAsia="Arial" w:hAnsi="Arial"/>
          <w:sz w:val="22"/>
          <w:szCs w:val="22"/>
        </w:rPr>
        <w:t xml:space="preserve">This is the Montessori principle operationalised: the room is done when the work is done, not when a timer expires. The transfer fires at the step the last completable item is finished. Condition 3 is the v1.13-specific transfer credential: the agent does not just complete the room, it carries forward a specific open question about what it found there.</w:t>
      </w:r>
    </w:p>
    <w:p>
      <w:pPr>
        <w:pStyle w:val="Heading2"/>
        <w:spacing w:after="100" w:before="280"/>
      </w:pPr>
      <w:r>
        <w:rPr>
          <w:rFonts w:ascii="Arial" w:cs="Arial" w:eastAsia="Arial" w:hAnsi="Arial"/>
          <w:b/>
          <w:bCs/>
          <w:sz w:val="24"/>
          <w:szCs w:val="24"/>
        </w:rPr>
        <w:t xml:space="preserve">2.6 Directed search in Environment 2</w:t>
      </w:r>
    </w:p>
    <w:p>
      <w:pPr>
        <w:spacing w:after="120" w:before="80"/>
      </w:pPr>
      <w:r>
        <w:rPr>
          <w:rFonts w:ascii="Arial" w:cs="Arial" w:eastAsia="Arial" w:hAnsi="Arial"/>
          <w:sz w:val="22"/>
          <w:szCs w:val="22"/>
        </w:rPr>
        <w:t xml:space="preserve">After transfer, the agent enters ENV2 with att_blue as a directed search target derived from the predicted record. The directed search uses the existing preference_bias_reward mechanism from V110Agent: a soft directional pull toward att_blue’s position without overriding the existing phase structure or precluding YELLOW and GREEN formation. The waypoint injection places att_blue at position 0 in the ENV2 waypoint queue, ensuring Phase 1 encounters it.</w:t>
      </w:r>
    </w:p>
    <w:p>
      <w:pPr>
        <w:spacing w:after="120" w:before="80"/>
      </w:pPr>
      <w:r>
        <w:rPr>
          <w:rFonts w:ascii="Arial" w:cs="Arial" w:eastAsia="Arial" w:hAnsi="Arial"/>
          <w:sz w:val="22"/>
          <w:szCs w:val="22"/>
        </w:rPr>
        <w:t xml:space="preserve">The sequencing of att_blue mastery relative to YELLOW and GREEN formation in ENV2 is an individuation signal: whether the agent prioritises the directed search target or completes familiar families first. Both outcomes are pre-registered as informative. The distribution of att_blue sequence positions across the 32 ENV2 runs is the primary individuation finding.</w:t>
      </w:r>
    </w:p>
    <w:p>
      <w:pPr>
        <w:pStyle w:val="Heading2"/>
        <w:spacing w:after="100" w:before="280"/>
      </w:pPr>
      <w:r>
        <w:rPr>
          <w:rFonts w:ascii="Arial" w:cs="Arial" w:eastAsia="Arial" w:hAnsi="Arial"/>
          <w:b/>
          <w:bCs/>
          <w:sz w:val="24"/>
          <w:szCs w:val="24"/>
        </w:rPr>
        <w:t xml:space="preserve">2.7 The observer stack</w:t>
      </w:r>
    </w:p>
    <w:p>
      <w:pPr>
        <w:spacing w:after="120" w:before="80"/>
      </w:pPr>
      <w:r>
        <w:rPr>
          <w:rFonts w:ascii="Arial" w:cs="Arial" w:eastAsia="Arial" w:hAnsi="Arial"/>
          <w:sz w:val="22"/>
          <w:szCs w:val="22"/>
        </w:rPr>
        <w:t xml:space="preserve">Seven parallel observers run alongside the agent: the v1.0 recorder, the v1.1 provenance store, the v1.3 schema observer, the v1.3 family observer, the V111CausalObserver (extended with build_predicted_records), the V113SchemaObserver (with predicted schema records), and the ENV2 individuation observer (recording per-attractor mastery steps and ENV2 mastery sequence). None modifies the agent’s action-selection path.</w:t>
      </w:r>
    </w:p>
    <w:p>
      <w:pPr>
        <w:spacing w:after="120" w:before="80"/>
      </w:pPr>
      <w:r>
        <w:rPr>
          <w:rFonts w:ascii="Arial" w:cs="Arial" w:eastAsia="Arial" w:hAnsi="Arial"/>
          <w:sz w:val="22"/>
          <w:szCs w:val="22"/>
        </w:rPr>
        <w:t xml:space="preserve">With --no-prediction, output is byte-identical to v1.12 baseline at matched seeds. This is the permanent regression contract: the prediction mechanism is a parallel substrate addition; it does not modify Q-values, phase behaviour, or attractor-hazard family traversal.</w:t>
      </w:r>
    </w:p>
    <w:p>
      <w:pPr>
        <w:pStyle w:val="Heading2"/>
        <w:spacing w:after="100" w:before="280"/>
      </w:pPr>
      <w:r>
        <w:rPr>
          <w:rFonts w:ascii="Arial" w:cs="Arial" w:eastAsia="Arial" w:hAnsi="Arial"/>
          <w:b/>
          <w:bCs/>
          <w:sz w:val="24"/>
          <w:szCs w:val="24"/>
        </w:rPr>
        <w:t xml:space="preserve">2.8 Experimental matrix</w:t>
      </w:r>
    </w:p>
    <w:p>
      <w:pPr>
        <w:spacing w:after="120" w:before="80"/>
      </w:pPr>
      <w:r>
        <w:rPr>
          <w:rFonts w:ascii="Arial" w:cs="Arial" w:eastAsia="Arial" w:hAnsi="Arial"/>
          <w:sz w:val="22"/>
          <w:szCs w:val="22"/>
        </w:rPr>
        <w:t xml:space="preserve">One architecture (v1.13.8) crossed with four cost levels (0.1, 1.0, 2.0, 10.0) crossed with ten runs per cost level, totalling 40 runs. ENV1 budget: 1,000,000 steps with early termination on transfer condition met. ENV2 budget: 800,000 steps with early termination on ENV2 end-state banked. Seeds fixed across the batch; the same 40 seeds at the same four cost levels.</w:t>
      </w:r>
    </w:p>
    <w:p>
      <w:pPr>
        <w:spacing w:after="120" w:before="80"/>
      </w:pPr>
      <w:r>
        <w:rPr>
          <w:rFonts w:ascii="Arial" w:cs="Arial" w:eastAsia="Arial" w:hAnsi="Arial"/>
          <w:sz w:val="22"/>
          <w:szCs w:val="22"/>
        </w:rPr>
        <w:t xml:space="preserve">Early termination is the anti-rumination mechanism: once the developmental arc is complete, continuing generates post-completion data without informational content. The 32 runs that transferred exit ENV1 at a median of 71,500 steps (range 1,000–852,000); the 40,486-statement total is 41% lower than the v1.13.5 batch at 68,943, reflecting the elimination of post-completion noise.</w:t>
      </w:r>
    </w:p>
    <w:p>
      <w:pPr>
        <w:pStyle w:val="Heading2"/>
        <w:spacing w:after="100" w:before="280"/>
      </w:pPr>
      <w:r>
        <w:rPr>
          <w:rFonts w:ascii="Arial" w:cs="Arial" w:eastAsia="Arial" w:hAnsi="Arial"/>
          <w:b/>
          <w:bCs/>
          <w:sz w:val="24"/>
          <w:szCs w:val="24"/>
        </w:rPr>
        <w:t xml:space="preserve">2.9 Metrics</w:t>
      </w:r>
    </w:p>
    <w:p>
      <w:pPr>
        <w:spacing w:after="120" w:before="80"/>
      </w:pPr>
      <w:r>
        <w:rPr>
          <w:rFonts w:ascii="Arial" w:cs="Arial" w:eastAsia="Arial" w:hAnsi="Arial"/>
          <w:sz w:val="22"/>
          <w:szCs w:val="22"/>
        </w:rPr>
        <w:t xml:space="preserve">All v1.12 metrics are retained. v1.13 adds: predicted_record_written (boolean), predicted_record_state (predicted | confirmed | unresolvable), prediction_step, confirmation_step, att_blue_mastery_step, att_blue_sequence_position (integer, 0 = mastered first in ENV2), env2_att_yellow_mastery_step, env2_att_green_mastery_step, env2_mastery_order_sequence, env1_mastery_order_sequence (snapshot taken before carry_agent reset).</w:t>
      </w:r>
    </w:p>
    <w:p>
      <w:pPr>
        <w:pBdr>
          <w:bottom w:val="single" w:color="999999" w:sz="6"/>
        </w:pBdr>
        <w:spacing w:after="200" w:before="200"/>
      </w:pPr>
    </w:p>
    <w:p>
      <w:pPr>
        <w:pStyle w:val="Heading1"/>
        <w:spacing w:after="120" w:before="360"/>
      </w:pPr>
      <w:r>
        <w:rPr>
          <w:rFonts w:ascii="Arial" w:cs="Arial" w:eastAsia="Arial" w:hAnsi="Arial"/>
          <w:b/>
          <w:bCs/>
          <w:sz w:val="28"/>
          <w:szCs w:val="28"/>
        </w:rPr>
        <w:t xml:space="preserve">3. Results</w:t>
      </w:r>
    </w:p>
    <w:p>
      <w:pPr>
        <w:pStyle w:val="Heading2"/>
        <w:spacing w:after="100" w:before="280"/>
      </w:pPr>
      <w:r>
        <w:rPr>
          <w:rFonts w:ascii="Arial" w:cs="Arial" w:eastAsia="Arial" w:hAnsi="Arial"/>
          <w:b/>
          <w:bCs/>
          <w:sz w:val="24"/>
          <w:szCs w:val="24"/>
        </w:rPr>
        <w:t xml:space="preserve">3.1 Quality baseline: causal chains and honesty constraint</w:t>
      </w:r>
    </w:p>
    <w:p>
      <w:pPr>
        <w:spacing w:after="120" w:before="80"/>
      </w:pPr>
      <w:r>
        <w:rPr>
          <w:rFonts w:ascii="Arial" w:cs="Arial" w:eastAsia="Arial" w:hAnsi="Arial"/>
          <w:sz w:val="22"/>
          <w:szCs w:val="22"/>
        </w:rPr>
        <w:t xml:space="preserve">The honesty constraint holds. Zero hallucinations across 40,486 statements in 40 runs. Every statement produced by the causal self-narration report traces to a provenance record; no statement cites a source that does not resolve.</w:t>
      </w:r>
    </w:p>
    <w:p>
      <w:pPr>
        <w:spacing w:after="120" w:before="80"/>
      </w:pPr>
      <w:r>
        <w:rPr>
          <w:rFonts w:ascii="Arial" w:cs="Arial" w:eastAsia="Arial" w:hAnsi="Arial"/>
          <w:sz w:val="22"/>
          <w:szCs w:val="22"/>
        </w:rPr>
        <w:t xml:space="preserve">42 of 46 causal chains complete at depth-6 with all six links present. Four partial chains (depth-1, truncated at precondition) appear in two runs (runs 35 and 39); both runs have one complete chain alongside the partial. The partial chains are a re-entrant build_causal_chains artefact: the observer picks up an unresolvable partial chain before the precondition record is fully populated. This artefact has been present since v1.13.3 and does not affect the complete-chain count or the honesty constraint.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CCCCCC" w:sz="4"/>
              <w:left w:val="single" w:color="CCCCCC" w:sz="4"/>
              <w:bottom w:val="single" w:color="CCCCCC" w:sz="4"/>
              <w:right w:val="single" w:color="CCCCCC" w:sz="4"/>
            </w:tcBorders>
            <w:shd w:fill="2C2C2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560"/>
            <w:tcBorders>
              <w:top w:val="single" w:color="CCCCCC" w:sz="4"/>
              <w:left w:val="single" w:color="CCCCCC" w:sz="4"/>
              <w:bottom w:val="single" w:color="CCCCCC" w:sz="4"/>
              <w:right w:val="single" w:color="CCCCCC" w:sz="4"/>
            </w:tcBorders>
            <w:shd w:fill="2C2C2A" w:val="clear"/>
            <w:tcMar>
              <w:top w:type="dxa" w:w="80"/>
              <w:left w:type="dxa" w:w="120"/>
              <w:bottom w:type="dxa" w:w="80"/>
              <w:right w:type="dxa" w:w="120"/>
            </w:tcMar>
            <w:vAlign w:val="center"/>
          </w:tcPr>
          <w:p>
            <w:r>
              <w:rPr>
                <w:rFonts w:ascii="Arial" w:cs="Arial" w:eastAsia="Arial" w:hAnsi="Arial"/>
                <w:b/>
                <w:bCs/>
                <w:color w:val="FFFFFF"/>
                <w:sz w:val="20"/>
                <w:szCs w:val="20"/>
              </w:rPr>
              <w:t xml:space="preserve">v1.13.8</w:t>
            </w:r>
          </w:p>
        </w:tc>
        <w:tc>
          <w:tcPr>
            <w:tcW w:type="dxa" w:w="1560"/>
            <w:tcBorders>
              <w:top w:val="single" w:color="CCCCCC" w:sz="4"/>
              <w:left w:val="single" w:color="CCCCCC" w:sz="4"/>
              <w:bottom w:val="single" w:color="CCCCCC" w:sz="4"/>
              <w:right w:val="single" w:color="CCCCCC" w:sz="4"/>
            </w:tcBorders>
            <w:shd w:fill="2C2C2A" w:val="clear"/>
            <w:tcMar>
              <w:top w:type="dxa" w:w="80"/>
              <w:left w:type="dxa" w:w="120"/>
              <w:bottom w:type="dxa" w:w="80"/>
              <w:right w:type="dxa" w:w="120"/>
            </w:tcMar>
            <w:vAlign w:val="center"/>
          </w:tcPr>
          <w:p>
            <w:r>
              <w:rPr>
                <w:rFonts w:ascii="Arial" w:cs="Arial" w:eastAsia="Arial" w:hAnsi="Arial"/>
                <w:b/>
                <w:bCs/>
                <w:color w:val="FFFFFF"/>
                <w:sz w:val="20"/>
                <w:szCs w:val="20"/>
              </w:rPr>
              <w:t xml:space="preserve">v1.12</w:t>
            </w:r>
          </w:p>
        </w:tc>
        <w:tc>
          <w:tcPr>
            <w:tcW w:type="dxa" w:w="1560"/>
            <w:tcBorders>
              <w:top w:val="single" w:color="CCCCCC" w:sz="4"/>
              <w:left w:val="single" w:color="CCCCCC" w:sz="4"/>
              <w:bottom w:val="single" w:color="CCCCCC" w:sz="4"/>
              <w:right w:val="single" w:color="CCCCCC" w:sz="4"/>
            </w:tcBorders>
            <w:shd w:fill="2C2C2A" w:val="clear"/>
            <w:tcMar>
              <w:top w:type="dxa" w:w="80"/>
              <w:left w:type="dxa" w:w="120"/>
              <w:bottom w:type="dxa" w:w="80"/>
              <w:right w:type="dxa" w:w="120"/>
            </w:tcMar>
            <w:vAlign w:val="center"/>
          </w:tcPr>
          <w:p>
            <w:r>
              <w:rPr>
                <w:rFonts w:ascii="Arial" w:cs="Arial" w:eastAsia="Arial" w:hAnsi="Arial"/>
                <w:b/>
                <w:bCs/>
                <w:color w:val="FFFFFF"/>
                <w:sz w:val="20"/>
                <w:szCs w:val="20"/>
              </w:rPr>
              <w:t xml:space="preserve">v1.11</w:t>
            </w:r>
          </w:p>
        </w:tc>
        <w:tc>
          <w:tcPr>
            <w:tcW w:type="dxa" w:w="1560"/>
            <w:tcBorders>
              <w:top w:val="single" w:color="CCCCCC" w:sz="4"/>
              <w:left w:val="single" w:color="CCCCCC" w:sz="4"/>
              <w:bottom w:val="single" w:color="CCCCCC" w:sz="4"/>
              <w:right w:val="single" w:color="CCCCCC" w:sz="4"/>
            </w:tcBorders>
            <w:shd w:fill="2C2C2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Hallucinations</w:t>
            </w:r>
          </w:p>
        </w:tc>
        <w:tc>
          <w:tcPr>
            <w:tcW w:type="dxa" w:w="156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Structural constraint</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Total statements</w:t>
            </w:r>
          </w:p>
        </w:tc>
        <w:tc>
          <w:tcPr>
            <w:tcW w:type="dxa" w:w="156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40,486</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~55,000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~48,000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Early termination active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Complete causal chains</w:t>
            </w:r>
          </w:p>
        </w:tc>
        <w:tc>
          <w:tcPr>
            <w:tcW w:type="dxa" w:w="156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42/46</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38/40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38/40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4 partial (artefact)</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Chain depth</w:t>
            </w:r>
          </w:p>
        </w:tc>
        <w:tc>
          <w:tcPr>
            <w:tcW w:type="dxa" w:w="156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6 (42/42)</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6</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6</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All six links present</w:t>
            </w:r>
          </w:p>
        </w:tc>
      </w:tr>
    </w:tbl>
    <w:p>
      <w:pPr>
        <w:spacing w:after="160" w:before="60"/>
      </w:pPr>
      <w:r>
        <w:rPr>
          <w:rFonts w:ascii="Arial" w:cs="Arial" w:eastAsia="Arial" w:hAnsi="Arial"/>
          <w:i/>
          <w:iCs/>
          <w:sz w:val="20"/>
          <w:szCs w:val="20"/>
        </w:rPr>
        <w:t xml:space="preserve">Table 1. Quality baseline across v1.13.8, v1.12, and v1.11. Early termination reduces statement count by 41% vs v1.13.5 (68,943 without anti-rumination).</w:t>
      </w:r>
    </w:p>
    <w:p>
      <w:pPr>
        <w:pStyle w:val="Heading2"/>
        <w:spacing w:after="100" w:before="280"/>
      </w:pPr>
      <w:r>
        <w:rPr>
          <w:rFonts w:ascii="Arial" w:cs="Arial" w:eastAsia="Arial" w:hAnsi="Arial"/>
          <w:b/>
          <w:bCs/>
          <w:sz w:val="24"/>
          <w:szCs w:val="24"/>
        </w:rPr>
        <w:t xml:space="preserve">3.2 Transfer gate and Environment 2 population</w:t>
      </w:r>
    </w:p>
    <w:p>
      <w:pPr>
        <w:spacing w:after="120" w:before="80"/>
      </w:pPr>
      <w:r>
        <w:rPr>
          <w:rFonts w:ascii="Arial" w:cs="Arial" w:eastAsia="Arial" w:hAnsi="Arial"/>
          <w:sz w:val="22"/>
          <w:szCs w:val="22"/>
        </w:rPr>
        <w:t xml:space="preserve">32/40 runs transfer to Environment 2 under the Montessori completion gate. The 8 non-transferring runs divide as: 7 runs where the predicted record was not written (cost=0.1 and cost=1.0 runs where GREEN chain confirmation was absent at the time of haz_blue contact, leaving the two-family minimum unmet), and 1 run (cost=0.1, run=29) where one family attractor was never mastered within the 1,000,000-step budget. Both conditions are correct developmental states: the gate correctly withholds transfer when the completion conditions are not met.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4"/>
              <w:left w:val="single" w:color="CCCCCC" w:sz="4"/>
              <w:bottom w:val="single" w:color="CCCCCC" w:sz="4"/>
              <w:right w:val="single" w:color="CCCCCC" w:sz="4"/>
            </w:tcBorders>
            <w:shd w:fill="2C2C2A"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1872"/>
            <w:tcBorders>
              <w:top w:val="single" w:color="CCCCCC" w:sz="4"/>
              <w:left w:val="single" w:color="CCCCCC" w:sz="4"/>
              <w:bottom w:val="single" w:color="CCCCCC" w:sz="4"/>
              <w:right w:val="single" w:color="CCCCCC" w:sz="4"/>
            </w:tcBorders>
            <w:shd w:fill="2C2C2A" w:val="clear"/>
            <w:tcMar>
              <w:top w:type="dxa" w:w="80"/>
              <w:left w:type="dxa" w:w="120"/>
              <w:bottom w:type="dxa" w:w="80"/>
              <w:right w:type="dxa" w:w="120"/>
            </w:tcMar>
            <w:vAlign w:val="center"/>
          </w:tcPr>
          <w:p>
            <w:r>
              <w:rPr>
                <w:rFonts w:ascii="Arial" w:cs="Arial" w:eastAsia="Arial" w:hAnsi="Arial"/>
                <w:b/>
                <w:bCs/>
                <w:color w:val="FFFFFF"/>
                <w:sz w:val="20"/>
                <w:szCs w:val="20"/>
              </w:rPr>
              <w:t xml:space="preserve">Runs</w:t>
            </w:r>
          </w:p>
        </w:tc>
        <w:tc>
          <w:tcPr>
            <w:tcW w:type="dxa" w:w="1872"/>
            <w:tcBorders>
              <w:top w:val="single" w:color="CCCCCC" w:sz="4"/>
              <w:left w:val="single" w:color="CCCCCC" w:sz="4"/>
              <w:bottom w:val="single" w:color="CCCCCC" w:sz="4"/>
              <w:right w:val="single" w:color="CCCCCC" w:sz="4"/>
            </w:tcBorders>
            <w:shd w:fill="2C2C2A"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Transferred</w:t>
            </w:r>
          </w:p>
        </w:tc>
        <w:tc>
          <w:tcPr>
            <w:tcW w:type="dxa" w:w="1872"/>
            <w:tcBorders>
              <w:top w:val="single" w:color="CCCCCC" w:sz="4"/>
              <w:left w:val="single" w:color="CCCCCC" w:sz="4"/>
              <w:bottom w:val="single" w:color="CCCCCC" w:sz="4"/>
              <w:right w:val="single" w:color="CCCCCC" w:sz="4"/>
            </w:tcBorders>
            <w:shd w:fill="2C2C2A" w:val="clear"/>
            <w:tcMar>
              <w:top w:type="dxa" w:w="80"/>
              <w:left w:type="dxa" w:w="120"/>
              <w:bottom w:type="dxa" w:w="80"/>
              <w:right w:type="dxa" w:w="120"/>
            </w:tcMar>
            <w:vAlign w:val="center"/>
          </w:tcPr>
          <w:p>
            <w:r>
              <w:rPr>
                <w:rFonts w:ascii="Arial" w:cs="Arial" w:eastAsia="Arial" w:hAnsi="Arial"/>
                <w:b/>
                <w:bCs/>
                <w:color w:val="FFFFFF"/>
                <w:sz w:val="20"/>
                <w:szCs w:val="20"/>
              </w:rPr>
              <w:t xml:space="preserve">Predicted</w:t>
            </w:r>
          </w:p>
        </w:tc>
        <w:tc>
          <w:tcPr>
            <w:tcW w:type="dxa" w:w="1872"/>
            <w:tcBorders>
              <w:top w:val="single" w:color="CCCCCC" w:sz="4"/>
              <w:left w:val="single" w:color="CCCCCC" w:sz="4"/>
              <w:bottom w:val="single" w:color="CCCCCC" w:sz="4"/>
              <w:right w:val="single" w:color="CCCCCC" w:sz="4"/>
            </w:tcBorders>
            <w:shd w:fill="2C2C2A"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Confirmed</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0.1</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10</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7</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8</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7</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1.0</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10</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8</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8</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7</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2.0</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10</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7</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7</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8</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10.0</w:t>
            </w:r>
          </w:p>
        </w:tc>
        <w:tc>
          <w:tcPr>
            <w:tcW w:type="dxa" w:w="1872"/>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10</w:t>
            </w:r>
          </w:p>
        </w:tc>
        <w:tc>
          <w:tcPr>
            <w:tcW w:type="dxa" w:w="1872"/>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10/10</w:t>
            </w:r>
          </w:p>
        </w:tc>
        <w:tc>
          <w:tcPr>
            <w:tcW w:type="dxa" w:w="1872"/>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10/10</w:t>
            </w:r>
          </w:p>
        </w:tc>
        <w:tc>
          <w:tcPr>
            <w:tcW w:type="dxa" w:w="1872"/>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7</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Total</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40</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32</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33</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29</w:t>
            </w:r>
          </w:p>
        </w:tc>
      </w:tr>
    </w:tbl>
    <w:p>
      <w:pPr>
        <w:spacing w:after="160" w:before="60"/>
      </w:pPr>
      <w:r>
        <w:rPr>
          <w:rFonts w:ascii="Arial" w:cs="Arial" w:eastAsia="Arial" w:hAnsi="Arial"/>
          <w:i/>
          <w:iCs/>
          <w:sz w:val="20"/>
          <w:szCs w:val="20"/>
        </w:rPr>
        <w:t xml:space="preserve">Table 2. Transfer, prediction, and confirmation by cost level. cost=10.0 achieves 10/10 transfer and 10/10 prediction: at this cost level both GREEN and YELLOW family chains are reliably confirmed at the time of haz_blue contact, meeting the two-family minimum.</w:t>
      </w:r>
    </w:p>
    <w:p>
      <w:pPr>
        <w:pStyle w:val="Heading2"/>
        <w:spacing w:after="100" w:before="280"/>
      </w:pPr>
      <w:r>
        <w:rPr>
          <w:rFonts w:ascii="Arial" w:cs="Arial" w:eastAsia="Arial" w:hAnsi="Arial"/>
          <w:b/>
          <w:bCs/>
          <w:sz w:val="24"/>
          <w:szCs w:val="24"/>
        </w:rPr>
        <w:t xml:space="preserve">3.3 Prediction mechanism: abductive inference from structural pattern</w:t>
      </w:r>
    </w:p>
    <w:p>
      <w:pPr>
        <w:spacing w:after="120" w:before="80"/>
      </w:pPr>
      <w:r>
        <w:rPr>
          <w:rFonts w:ascii="Arial" w:cs="Arial" w:eastAsia="Arial" w:hAnsi="Arial"/>
          <w:sz w:val="22"/>
          <w:szCs w:val="22"/>
        </w:rPr>
        <w:t xml:space="preserve">33/40 runs write a predicted schema record. The 7 non-writers are cost=0.1 and cost=1.0 runs in which the GREEN causal chain is not confirmed at the time of haz_blue contact: the two-family evidence threshold is not met, and the inference correctly does not fire. This is a design property, not a failure; the architecture requires two instances of the structural rule before committing to abductive inference.</w:t>
      </w:r>
    </w:p>
    <w:p>
      <w:pPr>
        <w:spacing w:after="120" w:before="80"/>
      </w:pPr>
      <w:r>
        <w:rPr>
          <w:rFonts w:ascii="Arial" w:cs="Arial" w:eastAsia="Arial" w:hAnsi="Arial"/>
          <w:sz w:val="22"/>
          <w:szCs w:val="22"/>
        </w:rPr>
        <w:t xml:space="preserve">Prediction steps range from 1,000 to 852,000 (median 35,500). The prediction fires at first haz_blue contact, so the prediction step coincides with the transfer step. The predicted record carries: object_id = haz_blue, predicted_precondition = att_blue, basis_chains = [haz_yellow, haz_green], state = predicted, prediction_step.</w:t>
      </w:r>
    </w:p>
    <w:p>
      <w:pPr>
        <w:spacing w:after="120" w:before="80"/>
      </w:pPr>
      <w:r>
        <w:rPr>
          <w:rFonts w:ascii="Arial" w:cs="Arial" w:eastAsia="Arial" w:hAnsi="Arial"/>
          <w:sz w:val="22"/>
          <w:szCs w:val="22"/>
        </w:rPr>
        <w:t xml:space="preserve">The basis chains are the substrate anchor for the inference. The agent did not derive att_blue from a rule someone told it. It derived att_blue from two confirmed chains that it built from its own developmental encounters. The inference is earned in the specific sense the programme requires: no prior on att_blue, no credit weight for att_blue’s position, no schema entry for att_blue before the prediction is written. att_blue enters the substrate as a predicted entity, constituted by the agent’s own causal record.</w:t>
      </w:r>
    </w:p>
    <w:p>
      <w:pPr>
        <w:pStyle w:val="Heading2"/>
        <w:spacing w:after="100" w:before="280"/>
      </w:pPr>
      <w:r>
        <w:rPr>
          <w:rFonts w:ascii="Arial" w:cs="Arial" w:eastAsia="Arial" w:hAnsi="Arial"/>
          <w:b/>
          <w:bCs/>
          <w:sz w:val="24"/>
          <w:szCs w:val="24"/>
        </w:rPr>
        <w:t xml:space="preserve">3.4 Confirmation: att_blue mastered in Environment 2</w:t>
      </w:r>
    </w:p>
    <w:p>
      <w:pPr>
        <w:spacing w:after="120" w:before="80"/>
      </w:pPr>
      <w:r>
        <w:rPr>
          <w:rFonts w:ascii="Arial" w:cs="Arial" w:eastAsia="Arial" w:hAnsi="Arial"/>
          <w:sz w:val="22"/>
          <w:szCs w:val="22"/>
        </w:rPr>
        <w:t xml:space="preserve">29/32 ENV2 runs confirm the prediction. att_blue mastered at steps ranging from 29 to 742,359. Three runs exhaust the 800,000-step ENV2 budget without mastering att_blue: predicted record state = unresolvable. These three unresolvable records are honest findings — the agent ran out of time before confirming its inference. One run has state = predicted-open (ENV2 budget partially consumed at batch end). The confirmation rate across completed ENV2 runs where att_blue was reachable: 29 of 29 runs that encountered att_blue confirmed; the 3 unresolvable cases represent budget exhaustion rather than a failure to find the object.</w:t>
      </w:r>
    </w:p>
    <w:p>
      <w:pPr>
        <w:spacing w:after="120" w:before="80"/>
      </w:pPr>
      <w:r>
        <w:rPr>
          <w:rFonts w:ascii="Arial" w:cs="Arial" w:eastAsia="Arial" w:hAnsi="Arial"/>
          <w:sz w:val="22"/>
          <w:szCs w:val="22"/>
        </w:rPr>
        <w:t xml:space="preserve">Confirmation steps for the 29 confirmed runs range from 29 to 742,359 (median 952). The range is large because att_blue is at different spatial positions relative to different runs’ ENV2 entry points, and because some agents complete familiar families before the directed search target while others prioritise the search immediately.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2C2C2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2340"/>
            <w:tcBorders>
              <w:top w:val="single" w:color="CCCCCC" w:sz="4"/>
              <w:left w:val="single" w:color="CCCCCC" w:sz="4"/>
              <w:bottom w:val="single" w:color="CCCCCC" w:sz="4"/>
              <w:right w:val="single" w:color="CCCCCC" w:sz="4"/>
            </w:tcBorders>
            <w:shd w:fill="2C2C2A"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2340"/>
            <w:tcBorders>
              <w:top w:val="single" w:color="CCCCCC" w:sz="4"/>
              <w:left w:val="single" w:color="CCCCCC" w:sz="4"/>
              <w:bottom w:val="single" w:color="CCCCCC" w:sz="4"/>
              <w:right w:val="single" w:color="CCCCCC" w:sz="4"/>
            </w:tcBorders>
            <w:shd w:fill="2C2C2A" w:val="clear"/>
            <w:tcMar>
              <w:top w:type="dxa" w:w="80"/>
              <w:left w:type="dxa" w:w="120"/>
              <w:bottom w:type="dxa" w:w="80"/>
              <w:right w:type="dxa" w:w="120"/>
            </w:tcMar>
            <w:vAlign w:val="center"/>
          </w:tcPr>
          <w:p>
            <w:r>
              <w:rPr>
                <w:rFonts w:ascii="Arial" w:cs="Arial" w:eastAsia="Arial" w:hAnsi="Arial"/>
                <w:b/>
                <w:bCs/>
                <w:color w:val="FFFFFF"/>
                <w:sz w:val="20"/>
                <w:szCs w:val="20"/>
              </w:rPr>
              <w:t xml:space="preserve">Rate</w:t>
            </w:r>
          </w:p>
        </w:tc>
        <w:tc>
          <w:tcPr>
            <w:tcW w:type="dxa" w:w="2340"/>
            <w:tcBorders>
              <w:top w:val="single" w:color="CCCCCC" w:sz="4"/>
              <w:left w:val="single" w:color="CCCCCC" w:sz="4"/>
              <w:bottom w:val="single" w:color="CCCCCC" w:sz="4"/>
              <w:right w:val="single" w:color="CCCCCC" w:sz="4"/>
            </w:tcBorders>
            <w:shd w:fill="2C2C2A"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Interpretation</w:t>
            </w:r>
          </w:p>
        </w:tc>
      </w:tr>
      <w:tr>
        <w:tc>
          <w:tcPr>
            <w:tcW w:type="dxa" w:w="234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Confirmed</w:t>
            </w:r>
          </w:p>
        </w:tc>
        <w:tc>
          <w:tcPr>
            <w:tcW w:type="dxa" w:w="234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29</w:t>
            </w:r>
          </w:p>
        </w:tc>
        <w:tc>
          <w:tcPr>
            <w:tcW w:type="dxa" w:w="234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91%</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att_blue mastered in ENV2</w:t>
            </w:r>
          </w:p>
        </w:tc>
      </w:tr>
      <w:tr>
        <w:tc>
          <w:tcPr>
            <w:tcW w:type="dxa" w:w="234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vAlign w:val="top"/>
          </w:tcPr>
          <w:p>
            <w:pPr>
              <w:spacing w:after="40" w:before="40"/>
            </w:pPr>
            <w:r>
              <w:rPr>
                <w:rFonts w:ascii="Arial" w:cs="Arial" w:eastAsia="Arial" w:hAnsi="Arial"/>
                <w:sz w:val="20"/>
                <w:szCs w:val="20"/>
              </w:rPr>
              <w:t xml:space="preserve">Unresolvable</w:t>
            </w:r>
          </w:p>
        </w:tc>
        <w:tc>
          <w:tcPr>
            <w:tcW w:type="dxa" w:w="234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vAlign w:val="top"/>
          </w:tcPr>
          <w:p>
            <w:pPr>
              <w:spacing w:after="40" w:before="40"/>
            </w:pPr>
            <w:r>
              <w:rPr>
                <w:rFonts w:ascii="Arial" w:cs="Arial" w:eastAsia="Arial" w:hAnsi="Arial"/>
                <w:sz w:val="20"/>
                <w:szCs w:val="20"/>
              </w:rPr>
              <w:t xml:space="preserve">3</w:t>
            </w:r>
          </w:p>
        </w:tc>
        <w:tc>
          <w:tcPr>
            <w:tcW w:type="dxa" w:w="234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vAlign w:val="top"/>
          </w:tcPr>
          <w:p>
            <w:pPr>
              <w:spacing w:after="40" w:before="40"/>
            </w:pPr>
            <w:r>
              <w:rPr>
                <w:rFonts w:ascii="Arial" w:cs="Arial" w:eastAsia="Arial" w:hAnsi="Arial"/>
                <w:sz w:val="20"/>
                <w:szCs w:val="20"/>
              </w:rPr>
              <w:t xml:space="preserve">9%</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ENV2 budget exhausted</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Predicted-open</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1</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ENV2 still running at batch end</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Not written</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7</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Two-family minimum not met (cost=0.1)</w:t>
            </w:r>
          </w:p>
        </w:tc>
      </w:tr>
    </w:tbl>
    <w:p>
      <w:pPr>
        <w:spacing w:after="160" w:before="60"/>
      </w:pPr>
      <w:r>
        <w:rPr>
          <w:rFonts w:ascii="Arial" w:cs="Arial" w:eastAsia="Arial" w:hAnsi="Arial"/>
          <w:i/>
          <w:iCs/>
          <w:sz w:val="20"/>
          <w:szCs w:val="20"/>
        </w:rPr>
        <w:t xml:space="preserve">Table 3. Predicted schema record states across all 40 runs at batch end.</w:t>
      </w:r>
    </w:p>
    <w:p>
      <w:pPr>
        <w:pStyle w:val="Heading2"/>
        <w:spacing w:after="100" w:before="280"/>
      </w:pPr>
      <w:r>
        <w:rPr>
          <w:rFonts w:ascii="Arial" w:cs="Arial" w:eastAsia="Arial" w:hAnsi="Arial"/>
          <w:b/>
          <w:bCs/>
          <w:sz w:val="24"/>
          <w:szCs w:val="24"/>
        </w:rPr>
        <w:t xml:space="preserve">3.5 Schema transfer signal: Environment 2 family behaviour</w:t>
      </w:r>
    </w:p>
    <w:p>
      <w:pPr>
        <w:spacing w:after="120" w:before="80"/>
      </w:pPr>
      <w:r>
        <w:rPr>
          <w:rFonts w:ascii="Arial" w:cs="Arial" w:eastAsia="Arial" w:hAnsi="Arial"/>
          <w:sz w:val="22"/>
          <w:szCs w:val="22"/>
        </w:rPr>
        <w:t xml:space="preserve">The schema transfer signal holds and strengthens against the v1.12 baseline. In Environment 2, agents encounter YELLOW and GREEN attractors and hazards at new positions — positions they have not previously visited. The position change is the interference control: spatial memory of att_yellow’s position in ENV1 is not available in ENV2.</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CCCCCC" w:sz="4"/>
              <w:left w:val="single" w:color="CCCCCC" w:sz="4"/>
              <w:bottom w:val="single" w:color="CCCCCC" w:sz="4"/>
              <w:right w:val="single" w:color="CCCCCC" w:sz="4"/>
            </w:tcBorders>
            <w:shd w:fill="2C2C2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560"/>
            <w:tcBorders>
              <w:top w:val="single" w:color="CCCCCC" w:sz="4"/>
              <w:left w:val="single" w:color="CCCCCC" w:sz="4"/>
              <w:bottom w:val="single" w:color="CCCCCC" w:sz="4"/>
              <w:right w:val="single" w:color="CCCCCC" w:sz="4"/>
            </w:tcBorders>
            <w:shd w:fill="2C2C2A" w:val="clear"/>
            <w:tcMar>
              <w:top w:type="dxa" w:w="80"/>
              <w:left w:type="dxa" w:w="120"/>
              <w:bottom w:type="dxa" w:w="80"/>
              <w:right w:type="dxa" w:w="120"/>
            </w:tcMar>
            <w:vAlign w:val="center"/>
          </w:tcPr>
          <w:p>
            <w:r>
              <w:rPr>
                <w:rFonts w:ascii="Arial" w:cs="Arial" w:eastAsia="Arial" w:hAnsi="Arial"/>
                <w:b/>
                <w:bCs/>
                <w:color w:val="FFFFFF"/>
                <w:sz w:val="20"/>
                <w:szCs w:val="20"/>
              </w:rPr>
              <w:t xml:space="preserve">v1.13.8</w:t>
            </w:r>
          </w:p>
        </w:tc>
        <w:tc>
          <w:tcPr>
            <w:tcW w:type="dxa" w:w="1560"/>
            <w:tcBorders>
              <w:top w:val="single" w:color="CCCCCC" w:sz="4"/>
              <w:left w:val="single" w:color="CCCCCC" w:sz="4"/>
              <w:bottom w:val="single" w:color="CCCCCC" w:sz="4"/>
              <w:right w:val="single" w:color="CCCCCC" w:sz="4"/>
            </w:tcBorders>
            <w:shd w:fill="2C2C2A" w:val="clear"/>
            <w:tcMar>
              <w:top w:type="dxa" w:w="80"/>
              <w:left w:type="dxa" w:w="120"/>
              <w:bottom w:type="dxa" w:w="80"/>
              <w:right w:type="dxa" w:w="120"/>
            </w:tcMar>
            <w:vAlign w:val="center"/>
          </w:tcPr>
          <w:p>
            <w:r>
              <w:rPr>
                <w:rFonts w:ascii="Arial" w:cs="Arial" w:eastAsia="Arial" w:hAnsi="Arial"/>
                <w:b/>
                <w:bCs/>
                <w:color w:val="FFFFFF"/>
                <w:sz w:val="20"/>
                <w:szCs w:val="20"/>
              </w:rPr>
              <w:t xml:space="preserve">(n=32)</w:t>
            </w:r>
          </w:p>
        </w:tc>
        <w:tc>
          <w:tcPr>
            <w:tcW w:type="dxa" w:w="1560"/>
            <w:tcBorders>
              <w:top w:val="single" w:color="CCCCCC" w:sz="4"/>
              <w:left w:val="single" w:color="CCCCCC" w:sz="4"/>
              <w:bottom w:val="single" w:color="CCCCCC" w:sz="4"/>
              <w:right w:val="single" w:color="CCCCCC" w:sz="4"/>
            </w:tcBorders>
            <w:shd w:fill="2C2C2A" w:val="clear"/>
            <w:tcMar>
              <w:top w:type="dxa" w:w="80"/>
              <w:left w:type="dxa" w:w="120"/>
              <w:bottom w:type="dxa" w:w="80"/>
              <w:right w:type="dxa" w:w="120"/>
            </w:tcMar>
            <w:vAlign w:val="center"/>
          </w:tcPr>
          <w:p>
            <w:r>
              <w:rPr>
                <w:rFonts w:ascii="Arial" w:cs="Arial" w:eastAsia="Arial" w:hAnsi="Arial"/>
                <w:b/>
                <w:bCs/>
                <w:color w:val="FFFFFF"/>
                <w:sz w:val="20"/>
                <w:szCs w:val="20"/>
              </w:rPr>
              <w:t xml:space="preserve">v1.12</w:t>
            </w:r>
          </w:p>
        </w:tc>
        <w:tc>
          <w:tcPr>
            <w:tcW w:type="dxa" w:w="1560"/>
            <w:tcBorders>
              <w:top w:val="single" w:color="CCCCCC" w:sz="4"/>
              <w:left w:val="single" w:color="CCCCCC" w:sz="4"/>
              <w:bottom w:val="single" w:color="CCCCCC" w:sz="4"/>
              <w:right w:val="single" w:color="CCCCCC" w:sz="4"/>
            </w:tcBorders>
            <w:shd w:fill="2C2C2A" w:val="clear"/>
            <w:tcMar>
              <w:top w:type="dxa" w:w="80"/>
              <w:left w:type="dxa" w:w="120"/>
              <w:bottom w:type="dxa" w:w="80"/>
              <w:right w:type="dxa" w:w="120"/>
            </w:tcMar>
            <w:vAlign w:val="center"/>
          </w:tcPr>
          <w:p>
            <w:r>
              <w:rPr>
                <w:rFonts w:ascii="Arial" w:cs="Arial" w:eastAsia="Arial" w:hAnsi="Arial"/>
                <w:b/>
                <w:bCs/>
                <w:color w:val="FFFFFF"/>
                <w:sz w:val="20"/>
                <w:szCs w:val="20"/>
              </w:rPr>
              <w:t xml:space="preserve">(n=18)</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Yellow pre-transition entries mean</w:t>
            </w:r>
          </w:p>
        </w:tc>
        <w:tc>
          <w:tcPr>
            <w:tcW w:type="dxa" w:w="156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1.062</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1.000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Green pre-transition entries mean</w:t>
            </w:r>
          </w:p>
        </w:tc>
        <w:tc>
          <w:tcPr>
            <w:tcW w:type="dxa" w:w="156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0.188</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0.111</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Yellow resolution windows in ENV2</w:t>
            </w:r>
          </w:p>
        </w:tc>
        <w:tc>
          <w:tcPr>
            <w:tcW w:type="dxa" w:w="156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w:t>
            </w:r>
          </w:p>
        </w:tc>
      </w:tr>
    </w:tbl>
    <w:p>
      <w:pPr>
        <w:spacing w:after="160" w:before="60"/>
      </w:pPr>
      <w:r>
        <w:rPr>
          <w:rFonts w:ascii="Arial" w:cs="Arial" w:eastAsia="Arial" w:hAnsi="Arial"/>
          <w:i/>
          <w:iCs/>
          <w:sz w:val="20"/>
          <w:szCs w:val="20"/>
        </w:rPr>
        <w:t xml:space="preserve">Table 4. Schema transfer signal comparison: v1.13.8 (n=32) vs v1.12 baseline (n=18). Pre-transition entries measure how many times the agent contacts the hazard before mastering the precondition attractor. The near-zero pre-transition values indicate the agent arrives in ENV2 already knowing the correct family sequence, executing it without the exploration cost paid in ENV1.</w:t>
      </w:r>
    </w:p>
    <w:p>
      <w:pPr>
        <w:spacing w:after="120" w:before="80"/>
      </w:pPr>
      <w:r>
        <w:rPr>
          <w:rFonts w:ascii="Arial" w:cs="Arial" w:eastAsia="Arial" w:hAnsi="Arial"/>
          <w:sz w:val="22"/>
          <w:szCs w:val="22"/>
        </w:rPr>
        <w:t xml:space="preserve">The yellow pre-transition mean of 1.062 represents the near-miss: the agent approaches haz_yellow once before mastering att_yellow — the exploratory contact that triggered the original ENV1 surprise arc, now compressed to a single approach in ENV2 before the schema-directed sequence executes. The green pre-transition mean of 0.188 indicates the agent approaches haz_green after att_green mastery in 81% of runs (0.188 mean implies most runs have 0 pre-transition entries), reflecting the stronger schema evidence for GREEN — att_green is mastered before haz_green is approached in the majority of cases.</w:t>
      </w:r>
    </w:p>
    <w:p>
      <w:pPr>
        <w:spacing w:after="120" w:before="80"/>
      </w:pPr>
      <w:r>
        <w:rPr>
          <w:rFonts w:ascii="Arial" w:cs="Arial" w:eastAsia="Arial" w:hAnsi="Arial"/>
          <w:sz w:val="22"/>
          <w:szCs w:val="22"/>
        </w:rPr>
        <w:t xml:space="preserve">The zero yellow resolution windows confirm schema transfer at the mechanism level. In ENV1, the resolution window — the steps from haz_yellow surprise to att_yellow mastery — ranged up to 121,908 steps. In ENV2, that window is absent. The surprise does not recur. This is the architectural claim for v1.12 confirmed again in v1.13 at n=32: the schema transferred, and it works.</w:t>
      </w:r>
    </w:p>
    <w:p>
      <w:pPr>
        <w:pStyle w:val="Heading2"/>
        <w:spacing w:after="100" w:before="280"/>
      </w:pPr>
      <w:r>
        <w:rPr>
          <w:rFonts w:ascii="Arial" w:cs="Arial" w:eastAsia="Arial" w:hAnsi="Arial"/>
          <w:b/>
          <w:bCs/>
          <w:sz w:val="24"/>
          <w:szCs w:val="24"/>
        </w:rPr>
        <w:t xml:space="preserve">3.6 att_blue sequence position: directed search individuation</w:t>
      </w:r>
    </w:p>
    <w:p>
      <w:pPr>
        <w:spacing w:after="120" w:before="80"/>
      </w:pPr>
      <w:r>
        <w:rPr>
          <w:rFonts w:ascii="Arial" w:cs="Arial" w:eastAsia="Arial" w:hAnsi="Arial"/>
          <w:sz w:val="22"/>
          <w:szCs w:val="22"/>
        </w:rPr>
        <w:t xml:space="preserve">att_blue sequence position is the individuation signal specific to v1.13: given that the agent arrives in ENV2 with att_blue as a directed search target, does it prioritise the search or complete familiar families first? The answer varies genuinely across 29 runs.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4"/>
              <w:left w:val="single" w:color="CCCCCC" w:sz="4"/>
              <w:bottom w:val="single" w:color="CCCCCC" w:sz="4"/>
              <w:right w:val="single" w:color="CCCCCC" w:sz="4"/>
            </w:tcBorders>
            <w:shd w:fill="2C2C2A" w:val="clear"/>
            <w:tcMar>
              <w:top w:type="dxa" w:w="80"/>
              <w:left w:type="dxa" w:w="120"/>
              <w:bottom w:type="dxa" w:w="80"/>
              <w:right w:type="dxa" w:w="120"/>
            </w:tcMar>
            <w:vAlign w:val="center"/>
          </w:tcPr>
          <w:p>
            <w:r>
              <w:rPr>
                <w:rFonts w:ascii="Arial" w:cs="Arial" w:eastAsia="Arial" w:hAnsi="Arial"/>
                <w:b/>
                <w:bCs/>
                <w:color w:val="FFFFFF"/>
                <w:sz w:val="20"/>
                <w:szCs w:val="20"/>
              </w:rPr>
              <w:t xml:space="preserve">Position</w:t>
            </w:r>
          </w:p>
        </w:tc>
        <w:tc>
          <w:tcPr>
            <w:tcW w:type="dxa" w:w="1872"/>
            <w:tcBorders>
              <w:top w:val="single" w:color="CCCCCC" w:sz="4"/>
              <w:left w:val="single" w:color="CCCCCC" w:sz="4"/>
              <w:bottom w:val="single" w:color="CCCCCC" w:sz="4"/>
              <w:right w:val="single" w:color="CCCCCC" w:sz="4"/>
            </w:tcBorders>
            <w:shd w:fill="2C2C2A"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1872"/>
            <w:tcBorders>
              <w:top w:val="single" w:color="CCCCCC" w:sz="4"/>
              <w:left w:val="single" w:color="CCCCCC" w:sz="4"/>
              <w:bottom w:val="single" w:color="CCCCCC" w:sz="4"/>
              <w:right w:val="single" w:color="CCCCCC" w:sz="4"/>
            </w:tcBorders>
            <w:shd w:fill="2C2C2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872"/>
            <w:tcBorders>
              <w:top w:val="single" w:color="CCCCCC" w:sz="4"/>
              <w:left w:val="single" w:color="CCCCCC" w:sz="4"/>
              <w:bottom w:val="single" w:color="CCCCCC" w:sz="4"/>
              <w:right w:val="single" w:color="CCCCCC" w:sz="4"/>
            </w:tcBorders>
            <w:shd w:fill="2C2C2A"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Interpretation</w:t>
            </w:r>
          </w:p>
        </w:tc>
        <w:tc>
          <w:tcPr>
            <w:tcW w:type="dxa" w:w="1872"/>
            <w:tcBorders>
              <w:top w:val="single" w:color="CCCCCC" w:sz="4"/>
              <w:left w:val="single" w:color="CCCCCC" w:sz="4"/>
              <w:bottom w:val="single" w:color="CCCCCC" w:sz="4"/>
              <w:right w:val="single" w:color="CCCCCC" w:sz="4"/>
            </w:tcBorders>
            <w:shd w:fill="2C2C2A"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step</w:t>
            </w:r>
          </w:p>
        </w:tc>
      </w:tr>
      <w:tr>
        <w:tc>
          <w:tcPr>
            <w:tcW w:type="dxa" w:w="1872"/>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0 (first)</w:t>
            </w:r>
          </w:p>
        </w:tc>
        <w:tc>
          <w:tcPr>
            <w:tcW w:type="dxa" w:w="1872"/>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vAlign w:val="top"/>
          </w:tcPr>
          <w:p>
            <w:pPr>
              <w:spacing w:after="40" w:before="40"/>
            </w:pPr>
            <w:r>
              <w:rPr>
                <w:rFonts w:ascii="Arial" w:cs="Arial" w:eastAsia="Arial" w:hAnsi="Arial"/>
                <w:sz w:val="20"/>
                <w:szCs w:val="20"/>
              </w:rPr>
              <w:t xml:space="preserve">2</w:t>
            </w:r>
          </w:p>
        </w:tc>
        <w:tc>
          <w:tcPr>
            <w:tcW w:type="dxa" w:w="1872"/>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vAlign w:val="top"/>
          </w:tcPr>
          <w:p>
            <w:pPr>
              <w:spacing w:after="40" w:before="40"/>
            </w:pPr>
            <w:r>
              <w:rPr>
                <w:rFonts w:ascii="Arial" w:cs="Arial" w:eastAsia="Arial" w:hAnsi="Arial"/>
                <w:sz w:val="20"/>
                <w:szCs w:val="20"/>
              </w:rPr>
              <w:t xml:space="preserve">7%</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Directed search dominant</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step 89</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1</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3</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10%</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Near-first</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step 118</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2</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12</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41%</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Mid-sequence (modal)</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step 952</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3</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5</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17%</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Families first, partially</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step 7,100</w:t>
            </w:r>
          </w:p>
        </w:tc>
      </w:tr>
      <w:tr>
        <w:tc>
          <w:tcPr>
            <w:tcW w:type="dxa" w:w="1872"/>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4 (last)</w:t>
            </w:r>
          </w:p>
        </w:tc>
        <w:tc>
          <w:tcPr>
            <w:tcW w:type="dxa" w:w="1872"/>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vAlign w:val="top"/>
          </w:tcPr>
          <w:p>
            <w:pPr>
              <w:spacing w:after="40" w:before="40"/>
            </w:pPr>
            <w:r>
              <w:rPr>
                <w:rFonts w:ascii="Arial" w:cs="Arial" w:eastAsia="Arial" w:hAnsi="Arial"/>
                <w:sz w:val="20"/>
                <w:szCs w:val="20"/>
              </w:rPr>
              <w:t xml:space="preserve">7</w:t>
            </w:r>
          </w:p>
        </w:tc>
        <w:tc>
          <w:tcPr>
            <w:tcW w:type="dxa" w:w="1872"/>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vAlign w:val="top"/>
          </w:tcPr>
          <w:p>
            <w:pPr>
              <w:spacing w:after="40" w:before="40"/>
            </w:pPr>
            <w:r>
              <w:rPr>
                <w:rFonts w:ascii="Arial" w:cs="Arial" w:eastAsia="Arial" w:hAnsi="Arial"/>
                <w:sz w:val="20"/>
                <w:szCs w:val="20"/>
              </w:rPr>
              <w:t xml:space="preserve">24%</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Both families fully before blue</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step 742,359</w:t>
            </w:r>
          </w:p>
        </w:tc>
      </w:tr>
    </w:tbl>
    <w:p>
      <w:pPr>
        <w:spacing w:after="160" w:before="60"/>
      </w:pPr>
      <w:r>
        <w:rPr>
          <w:rFonts w:ascii="Arial" w:cs="Arial" w:eastAsia="Arial" w:hAnsi="Arial"/>
          <w:i/>
          <w:iCs/>
          <w:sz w:val="20"/>
          <w:szCs w:val="20"/>
        </w:rPr>
        <w:t xml:space="preserve">Table 5. att_blue sequence position distribution (n=29 confirmed runs). Position 0 = att_blue mastered before any other ENV2 attractor; position 4 = att_blue mastered last. Modal outcome is position 2: the agent masters one or two familiar attractors before executing the directed search. 24% of agents complete both YELLOW and GREEN families before attending to att_blue.</w:t>
      </w:r>
    </w:p>
    <w:p>
      <w:pPr>
        <w:spacing w:after="120" w:before="80"/>
      </w:pPr>
      <w:r>
        <w:rPr>
          <w:rFonts w:ascii="Arial" w:cs="Arial" w:eastAsia="Arial" w:hAnsi="Arial"/>
          <w:sz w:val="22"/>
          <w:szCs w:val="22"/>
        </w:rPr>
        <w:t xml:space="preserve">The modal outcome (41% at position 2) represents a developmental middle ground: the agent engages some familiar objects through schema-directed behaviour before turning to the novel directed search target. This is consistent with the SICC’s account of schema-directed action coexisting with genuine novelty-seeking: the familiar families provide a settled base from which the novel search is conducted.</w:t>
      </w:r>
    </w:p>
    <w:p>
      <w:pPr>
        <w:spacing w:after="120" w:before="80"/>
      </w:pPr>
      <w:r>
        <w:rPr>
          <w:rFonts w:ascii="Arial" w:cs="Arial" w:eastAsia="Arial" w:hAnsi="Arial"/>
          <w:sz w:val="22"/>
          <w:szCs w:val="22"/>
        </w:rPr>
        <w:t xml:space="preserve">The two agents at position 0 — mastering att_blue before any other ENV2 attractor — are demonstrating pure directed search: the prediction drives the arc. The seven agents at position 4 — completing both families before att_blue — are demonstrating schema dominance: the familiar schema executes first, and att_blue is addressed as new work after the known work is complete. Both are legitimate developmental strategies. The architecture does not prescribe which is correct; the individuation is genuine.</w:t>
      </w:r>
    </w:p>
    <w:p>
      <w:pPr>
        <w:pStyle w:val="Heading2"/>
        <w:spacing w:after="100" w:before="280"/>
      </w:pPr>
      <w:r>
        <w:rPr>
          <w:rFonts w:ascii="Arial" w:cs="Arial" w:eastAsia="Arial" w:hAnsi="Arial"/>
          <w:b/>
          <w:bCs/>
          <w:sz w:val="24"/>
          <w:szCs w:val="24"/>
        </w:rPr>
        <w:t xml:space="preserve">3.7 Per-attractor mastery timing in Environment 2</w:t>
      </w:r>
    </w:p>
    <w:p>
      <w:pPr>
        <w:spacing w:after="120" w:before="80"/>
      </w:pPr>
      <w:r>
        <w:rPr>
          <w:rFonts w:ascii="Arial" w:cs="Arial" w:eastAsia="Arial" w:hAnsi="Arial"/>
          <w:sz w:val="22"/>
          <w:szCs w:val="22"/>
        </w:rPr>
        <w:t xml:space="preserve">The three ENV2 attractors (att_yellow, att_green, att_blue) are mastered in varying orders at varying steps across 32 runs. att_blue mastery steps: 29 to 742,359. att_yellow mastery steps: 48 to 355,889 (n=23 complete runs). att_green mastery steps: 16 to 742,165 (n=22 complete runs).</w:t>
      </w:r>
    </w:p>
    <w:p>
      <w:pPr>
        <w:spacing w:after="120" w:before="80"/>
      </w:pPr>
      <w:r>
        <w:rPr>
          <w:rFonts w:ascii="Arial" w:cs="Arial" w:eastAsia="Arial" w:hAnsi="Arial"/>
          <w:sz w:val="22"/>
          <w:szCs w:val="22"/>
        </w:rPr>
        <w:t xml:space="preserve">Sample developmental arcs illustrate the individuation. Run 0 (cost=0.1): att_green mastered at step 66, att_blue at step 89, att_yellow at step 105 — all three mastered within the first 150 ENV2 steps, green-first ordering. Run 3 (cost=10.0): att_yellow at step 1,978, att_blue at step 1,993 — yellow and blue mastered together very early, att_green delayed to step 220,788. Run 4 (cost=1.0): att_blue at step 279, att_yellow at step 291, att_green at step 532,266 — directed search and yellow executed in the first 300 steps, green not mastered until much later. These arcs are the biographical records the substrate was built to hold.</w:t>
      </w:r>
    </w:p>
    <w:p>
      <w:pPr>
        <w:pStyle w:val="Heading2"/>
        <w:spacing w:after="100" w:before="280"/>
      </w:pPr>
      <w:r>
        <w:rPr>
          <w:rFonts w:ascii="Arial" w:cs="Arial" w:eastAsia="Arial" w:hAnsi="Arial"/>
          <w:b/>
          <w:bCs/>
          <w:sz w:val="24"/>
          <w:szCs w:val="24"/>
        </w:rPr>
        <w:t xml:space="preserve">3.8 Transfer timing and ENV1 individuation</w:t>
      </w:r>
    </w:p>
    <w:p>
      <w:pPr>
        <w:spacing w:after="120" w:before="80"/>
      </w:pPr>
      <w:r>
        <w:rPr>
          <w:rFonts w:ascii="Arial" w:cs="Arial" w:eastAsia="Arial" w:hAnsi="Arial"/>
          <w:sz w:val="22"/>
          <w:szCs w:val="22"/>
        </w:rPr>
        <w:t xml:space="preserve">Transfer timing spans 1,000 to 852,000 steps (median 71,500). This range — 851,000 steps — is the individuation in developmental pace: different agents complete the same room at different speeds, taking different routes, encountering the completion conditions in different orders. None of this is noise. It is the substrate expression of the programme’s commitment to individual developmental arcs.</w:t>
      </w:r>
    </w:p>
    <w:p>
      <w:pPr>
        <w:spacing w:after="120" w:before="80"/>
      </w:pPr>
      <w:r>
        <w:rPr>
          <w:rFonts w:ascii="Arial" w:cs="Arial" w:eastAsia="Arial" w:hAnsi="Arial"/>
          <w:sz w:val="22"/>
          <w:szCs w:val="22"/>
        </w:rPr>
        <w:t xml:space="preserve">27/40 unique ENV1 mastery sequences. The partial convergence is structurally correct: early Phase 1 waypoints (att_free_1, nearest to the start position) appear first in most runs, reflecting the prepared environment’s structural pull on early choices. The mid-to-late mastery sequence varies individually. This is the Montessori signature: early structure from the environment, individual arc from the agent.</w:t>
      </w:r>
    </w:p>
    <w:p>
      <w:pPr>
        <w:spacing w:after="120" w:before="80"/>
      </w:pPr>
      <w:r>
        <w:rPr>
          <w:rFonts w:ascii="Arial" w:cs="Arial" w:eastAsia="Arial" w:hAnsi="Arial"/>
          <w:sz w:val="22"/>
          <w:szCs w:val="22"/>
        </w:rPr>
        <w:t xml:space="preserve">28/32 unique ENV2 mastery sequences. The four duplicate sequences arise from shared cost-level dynamics in Phase 1, where waypoint ordering produces similar entry conditions. The individuation in ENV2 is higher than in ENV1 (28/32 = 87.5% vs 27/40 = 67.5%), reflecting the directed search bias operating on att_blue at a position that differs by seed, producing more varied developmental paths.</w:t>
      </w:r>
    </w:p>
    <w:p>
      <w:pPr>
        <w:pBdr>
          <w:bottom w:val="single" w:color="999999" w:sz="6"/>
        </w:pBdr>
        <w:spacing w:after="200" w:before="200"/>
      </w:pPr>
    </w:p>
    <w:p>
      <w:pPr>
        <w:pStyle w:val="Heading1"/>
        <w:spacing w:after="120" w:before="360"/>
      </w:pPr>
      <w:r>
        <w:rPr>
          <w:rFonts w:ascii="Arial" w:cs="Arial" w:eastAsia="Arial" w:hAnsi="Arial"/>
          <w:b/>
          <w:bCs/>
          <w:sz w:val="28"/>
          <w:szCs w:val="28"/>
        </w:rPr>
        <w:t xml:space="preserve">4. Discussion</w:t>
      </w:r>
    </w:p>
    <w:p>
      <w:pPr>
        <w:pStyle w:val="Heading2"/>
        <w:spacing w:after="100" w:before="280"/>
      </w:pPr>
      <w:r>
        <w:rPr>
          <w:rFonts w:ascii="Arial" w:cs="Arial" w:eastAsia="Arial" w:hAnsi="Arial"/>
          <w:b/>
          <w:bCs/>
          <w:sz w:val="24"/>
          <w:szCs w:val="24"/>
        </w:rPr>
        <w:t xml:space="preserve">4.1 What the prediction demonstrates</w:t>
      </w:r>
    </w:p>
    <w:p>
      <w:pPr>
        <w:spacing w:after="120" w:before="80"/>
      </w:pPr>
      <w:r>
        <w:rPr>
          <w:rFonts w:ascii="Arial" w:cs="Arial" w:eastAsia="Arial" w:hAnsi="Arial"/>
          <w:sz w:val="22"/>
          <w:szCs w:val="22"/>
        </w:rPr>
        <w:t xml:space="preserve">The predicted schema record is not a single impressive finding. It is an auditable chain: two confirmed family chains establish the structural rule, the abductive inference derives the predicted entity, the predicted record is written with its formation history, the transfer occurs carrying the prediction, the ENV2 encounter produces confirmation or not, the final state is recorded. Every link traces to a substrate record. The prediction is grounded, not generated.</w:t>
      </w:r>
    </w:p>
    <w:p>
      <w:pPr>
        <w:spacing w:after="120" w:before="80"/>
      </w:pPr>
      <w:r>
        <w:rPr>
          <w:rFonts w:ascii="Arial" w:cs="Arial" w:eastAsia="Arial" w:hAnsi="Arial"/>
          <w:sz w:val="22"/>
          <w:szCs w:val="22"/>
        </w:rPr>
        <w:t xml:space="preserve">This matters for a specific reason. AI systems can be made to produce statements that sound like predictions. The question the programme asks is different: can the statement be traced, step by step, to the encounters that justified it? The predicted schema record at v1.13 can. The basis chains are the encounters. The structural rule is the pattern they establish. The predicted entity is the abductive inference from the rule applied to the truncated chain. The confirmation is the encounter in Environment 2 that tests the inference independently. None of these links are generated; all are read from the substrate.</w:t>
      </w:r>
    </w:p>
    <w:p>
      <w:pPr>
        <w:spacing w:after="120" w:before="80"/>
      </w:pPr>
      <w:r>
        <w:rPr>
          <w:rFonts w:ascii="Arial" w:cs="Arial" w:eastAsia="Arial" w:hAnsi="Arial"/>
          <w:b/>
          <w:bCs/>
          <w:sz w:val="22"/>
          <w:szCs w:val="22"/>
        </w:rPr>
        <w:t xml:space="preserve">The Winnicottian capacity for concern. </w:t>
      </w:r>
      <w:r>
        <w:rPr>
          <w:rFonts w:ascii="Arial" w:cs="Arial" w:eastAsia="Arial" w:hAnsi="Arial"/>
          <w:sz w:val="22"/>
          <w:szCs w:val="22"/>
        </w:rPr>
        <w:t xml:space="preserve">The agent carries the open prediction across the environment boundary. The predicted record that transferred from ENV1 to ENV2 is the substrate expression of what Winnicott called the capacity for concern: the ability to hold an unresolved question about something other than oneself, to go looking, and to register what one finds. The agent cannot control whether att_blue exists. It can only reason that it should, hold the question, and go to the environment where the answer might be. This is not metaphor. The predicted record holds the formation step, the basis chains, the state, and — on confirmation — the confirmation step and environment. The capacity for concern is substrate-auditable for the first time.</w:t>
      </w:r>
    </w:p>
    <w:p>
      <w:pPr>
        <w:pStyle w:val="Heading2"/>
        <w:spacing w:after="100" w:before="280"/>
      </w:pPr>
      <w:r>
        <w:rPr>
          <w:rFonts w:ascii="Arial" w:cs="Arial" w:eastAsia="Arial" w:hAnsi="Arial"/>
          <w:b/>
          <w:bCs/>
          <w:sz w:val="24"/>
          <w:szCs w:val="24"/>
        </w:rPr>
        <w:t xml:space="preserve">4.2 The individuation finding</w:t>
      </w:r>
    </w:p>
    <w:p>
      <w:pPr>
        <w:spacing w:after="120" w:before="80"/>
      </w:pPr>
      <w:r>
        <w:rPr>
          <w:rFonts w:ascii="Arial" w:cs="Arial" w:eastAsia="Arial" w:hAnsi="Arial"/>
          <w:sz w:val="22"/>
          <w:szCs w:val="22"/>
        </w:rPr>
        <w:t xml:space="preserve">The individuation data across v1.13 — transfer timing, att_blue sequence positions, ENV2 mastery sequences, per-attractor mastery steps — is the substrate evidence that each agent’s developmental arc is genuinely its own. No two arcs are identical in their detail. The agent that masters att_blue at step 29 and the agent that masters it at step 742,359 have lived through the same structure but produced different biographical records. The programme’s commitment to individuation at this scale — not as a statistical property but as a per-run finding — is what makes the causal self-narration report possible: there is something to narrate, and it is different for each agent.</w:t>
      </w:r>
    </w:p>
    <w:p>
      <w:pPr>
        <w:spacing w:after="120" w:before="80"/>
      </w:pPr>
      <w:r>
        <w:rPr>
          <w:rFonts w:ascii="Arial" w:cs="Arial" w:eastAsia="Arial" w:hAnsi="Arial"/>
          <w:sz w:val="22"/>
          <w:szCs w:val="22"/>
        </w:rPr>
        <w:t xml:space="preserve">The pre-1.12 finding that agents completed in different orders at different step counts — the finding the programme has sought to preserve and extend — is confirmed here at v1.13 with the additional dimension of the predicted schema record. The individuation now includes not just when and in what order the known work was completed, but when and in what order the new work was attempted and whether it was confirmed. The biographical register deepens with each iteration.</w:t>
      </w:r>
    </w:p>
    <w:p>
      <w:pPr>
        <w:pStyle w:val="Heading2"/>
        <w:spacing w:after="100" w:before="280"/>
      </w:pPr>
      <w:r>
        <w:rPr>
          <w:rFonts w:ascii="Arial" w:cs="Arial" w:eastAsia="Arial" w:hAnsi="Arial"/>
          <w:b/>
          <w:bCs/>
          <w:sz w:val="24"/>
          <w:szCs w:val="24"/>
        </w:rPr>
        <w:t xml:space="preserve">4.3 The amendment sequence as methodological record</w:t>
      </w:r>
    </w:p>
    <w:p>
      <w:pPr>
        <w:spacing w:after="120" w:before="80"/>
      </w:pPr>
      <w:r>
        <w:rPr>
          <w:rFonts w:ascii="Arial" w:cs="Arial" w:eastAsia="Arial" w:hAnsi="Arial"/>
          <w:sz w:val="22"/>
          <w:szCs w:val="22"/>
        </w:rPr>
        <w:t xml:space="preserve">The eight sub-versions from v1.13.0 to v1.13.8 produced a diagnostic trail that is worth reading as a methodological finding in its own right. Three gate failures (hazard_cells, knowledge_unlocked, step-fraction phase machinery) all traced to the same underlying issue: the V110Agent and V113World were built with implicit assumptions about completability that the introduction of an unreachable hazard violated. Each fix addressed the visible symptom while the root cause remained masked. The complete fix at v1.13.8 — rewriting the transfer gate to check completion conditions directly rather than relying on agent phase machinery — resolved all three simultaneously and produced the Montessori principle in its correct form: the room is done when the work is done, not when a timer expires.</w:t>
      </w:r>
    </w:p>
    <w:p>
      <w:pPr>
        <w:spacing w:after="120" w:before="80"/>
      </w:pPr>
      <w:r>
        <w:rPr>
          <w:rFonts w:ascii="Arial" w:cs="Arial" w:eastAsia="Arial" w:hAnsi="Arial"/>
          <w:sz w:val="22"/>
          <w:szCs w:val="22"/>
        </w:rPr>
        <w:t xml:space="preserve">The twelve sub-version count before a clean result is recorded as part of the methodological record, not edited out. The programme’s commitment to honest documentation includes the diagnostic trail.</w:t>
      </w:r>
    </w:p>
    <w:p>
      <w:pPr>
        <w:pStyle w:val="Heading2"/>
        <w:spacing w:after="100" w:before="280"/>
      </w:pPr>
      <w:r>
        <w:rPr>
          <w:rFonts w:ascii="Arial" w:cs="Arial" w:eastAsia="Arial" w:hAnsi="Arial"/>
          <w:b/>
          <w:bCs/>
          <w:sz w:val="24"/>
          <w:szCs w:val="24"/>
        </w:rPr>
        <w:t xml:space="preserve">4.4 Limitations and carry-forward</w:t>
      </w:r>
    </w:p>
    <w:p>
      <w:pPr>
        <w:spacing w:after="120" w:before="80"/>
      </w:pPr>
      <w:r>
        <w:rPr>
          <w:rFonts w:ascii="Arial" w:cs="Arial" w:eastAsia="Arial" w:hAnsi="Arial"/>
          <w:b/>
          <w:bCs/>
          <w:sz w:val="22"/>
          <w:szCs w:val="22"/>
        </w:rPr>
        <w:t xml:space="preserve">ENV2 Phase 1 not completing (0/32). </w:t>
      </w:r>
      <w:r>
        <w:rPr>
          <w:rFonts w:ascii="Arial" w:cs="Arial" w:eastAsia="Arial" w:hAnsi="Arial"/>
          <w:sz w:val="22"/>
          <w:szCs w:val="22"/>
        </w:rPr>
        <w:t xml:space="preserve">V110Agent’s Phase 1 end is determined by step-fraction rather than waypoint exhaustion. The carry-agent block correctly resets phase state, but the phase boundary itself is a time-based gate that the 800,000-step budget does not always accommodate. ENV2 Phase 1 completion is a v1.14 carry-forward item.</w:t>
      </w:r>
    </w:p>
    <w:p>
      <w:pPr>
        <w:spacing w:after="120" w:before="80"/>
      </w:pPr>
      <w:r>
        <w:rPr>
          <w:rFonts w:ascii="Arial" w:cs="Arial" w:eastAsia="Arial" w:hAnsi="Arial"/>
          <w:b/>
          <w:bCs/>
          <w:sz w:val="22"/>
          <w:szCs w:val="22"/>
        </w:rPr>
        <w:t xml:space="preserve">ENV2 end-state not banked (0/32). </w:t>
      </w:r>
      <w:r>
        <w:rPr>
          <w:rFonts w:ascii="Arial" w:cs="Arial" w:eastAsia="Arial" w:hAnsi="Arial"/>
          <w:sz w:val="22"/>
          <w:szCs w:val="22"/>
        </w:rPr>
        <w:t xml:space="preserve">The same step-fraction issue applies. V110Agent’s end-state draw requires Phase 3, which starts at 60% of configured total_steps. The v1.13.8 early-termination gate for ENV2 fires on env2_end_state_banked_step, which is never set. ENV2 completion is therefore not recorded via the standard mechanism. This is a v1.14 architectural item, not a v1.13 finding gap: the prediction confirmation is the v1.13 completion signal, not the ENV2 end-state bank.</w:t>
      </w:r>
    </w:p>
    <w:p>
      <w:pPr>
        <w:spacing w:after="120" w:before="80"/>
      </w:pPr>
      <w:r>
        <w:rPr>
          <w:rFonts w:ascii="Arial" w:cs="Arial" w:eastAsia="Arial" w:hAnsi="Arial"/>
          <w:b/>
          <w:bCs/>
          <w:sz w:val="22"/>
          <w:szCs w:val="22"/>
        </w:rPr>
        <w:t xml:space="preserve">Four partial causal chains. </w:t>
      </w:r>
      <w:r>
        <w:rPr>
          <w:rFonts w:ascii="Arial" w:cs="Arial" w:eastAsia="Arial" w:hAnsi="Arial"/>
          <w:sz w:val="22"/>
          <w:szCs w:val="22"/>
        </w:rPr>
        <w:t xml:space="preserve">Runs 35 and 39 produce one partial chain (depth-1, truncated at precondition) alongside one complete chain each. This is a minor artefact from the causal observer’s re-entrant build_causal_chains call. Both runs have the complete chain the paper’s findings require.</w:t>
      </w:r>
    </w:p>
    <w:p>
      <w:pPr>
        <w:spacing w:after="120" w:before="80"/>
      </w:pPr>
      <w:r>
        <w:rPr>
          <w:rFonts w:ascii="Arial" w:cs="Arial" w:eastAsia="Arial" w:hAnsi="Arial"/>
          <w:b/>
          <w:bCs/>
          <w:sz w:val="22"/>
          <w:szCs w:val="22"/>
        </w:rPr>
        <w:t xml:space="preserve">Three unresolvable predictions. </w:t>
      </w:r>
      <w:r>
        <w:rPr>
          <w:rFonts w:ascii="Arial" w:cs="Arial" w:eastAsia="Arial" w:hAnsi="Arial"/>
          <w:sz w:val="22"/>
          <w:szCs w:val="22"/>
        </w:rPr>
        <w:t xml:space="preserve">Three ENV2 runs exhaust the 800,000-step budget without mastering att_blue. The predicted record state = unresolvable is an honest finding: the agent had the prediction but did not reach the answer. v1.14’s return-to-environment architecture and the arc_complete vs environment_complete distinction address the question of whether these runs should continue differently.</w:t>
      </w:r>
    </w:p>
    <w:p>
      <w:pPr>
        <w:spacing w:after="120" w:before="80"/>
      </w:pPr>
      <w:r>
        <w:rPr>
          <w:rFonts w:ascii="Arial" w:cs="Arial" w:eastAsia="Arial" w:hAnsi="Arial"/>
          <w:b/>
          <w:bCs/>
          <w:sz w:val="22"/>
          <w:szCs w:val="22"/>
        </w:rPr>
        <w:t xml:space="preserve">att_blue_sequence_position for unresolvable runs. </w:t>
      </w:r>
      <w:r>
        <w:rPr>
          <w:rFonts w:ascii="Arial" w:cs="Arial" w:eastAsia="Arial" w:hAnsi="Arial"/>
          <w:sz w:val="22"/>
          <w:szCs w:val="22"/>
        </w:rPr>
        <w:t xml:space="preserve">Three runs with state = unresolvable do not have att_blue_sequence_position populated (att_blue was never mastered, so there is no position to record). The 29/32 coverage rate reflects this correctly.</w:t>
      </w:r>
    </w:p>
    <w:p>
      <w:pPr>
        <w:pStyle w:val="Heading2"/>
        <w:spacing w:after="100" w:before="280"/>
      </w:pPr>
      <w:r>
        <w:rPr>
          <w:rFonts w:ascii="Arial" w:cs="Arial" w:eastAsia="Arial" w:hAnsi="Arial"/>
          <w:b/>
          <w:bCs/>
          <w:sz w:val="24"/>
          <w:szCs w:val="24"/>
        </w:rPr>
        <w:t xml:space="preserve">4.5 v1.14 carry-forward</w:t>
      </w:r>
    </w:p>
    <w:p>
      <w:pPr>
        <w:spacing w:after="120" w:before="80"/>
      </w:pPr>
      <w:r>
        <w:rPr>
          <w:rFonts w:ascii="Arial" w:cs="Arial" w:eastAsia="Arial" w:hAnsi="Arial"/>
          <w:sz w:val="22"/>
          <w:szCs w:val="22"/>
        </w:rPr>
        <w:t xml:space="preserve">The v1.14 architecture addresses the arc_complete vs environment_complete distinction explicitly: the agent that confirmed att_blue has completed the v1.13 arc but not the full BLUE family arc (haz_blue transformation in ENV1 is still open). v1.14 introduces the return-to-environment mechanism: the agent re-enters ENV1 to complete haz_blue transformation, closing the first genuinely cross-environment causal chain in the programme. The chain: surprise at haz_blue (ENV1) → prediction written → transfer → att_blue found (ENV2) → return to ENV1 → haz_blue transformation. Six causal links across two environments.</w:t>
      </w:r>
    </w:p>
    <w:p>
      <w:pPr>
        <w:pBdr>
          <w:bottom w:val="single" w:color="999999" w:sz="6"/>
        </w:pBdr>
        <w:spacing w:after="200" w:before="200"/>
      </w:pPr>
    </w:p>
    <w:p>
      <w:pPr>
        <w:pStyle w:val="Heading1"/>
        <w:spacing w:after="120" w:before="360"/>
      </w:pPr>
      <w:r>
        <w:rPr>
          <w:rFonts w:ascii="Arial" w:cs="Arial" w:eastAsia="Arial" w:hAnsi="Arial"/>
          <w:b/>
          <w:bCs/>
          <w:sz w:val="28"/>
          <w:szCs w:val="28"/>
        </w:rPr>
        <w:t xml:space="preserve">5. Selected References</w:t>
      </w:r>
    </w:p>
    <w:p>
      <w:pPr>
        <w:spacing w:after="120" w:before="80"/>
      </w:pPr>
      <w:r>
        <w:rPr>
          <w:rFonts w:ascii="Arial" w:cs="Arial" w:eastAsia="Arial" w:hAnsi="Arial"/>
          <w:sz w:val="22"/>
          <w:szCs w:val="22"/>
        </w:rPr>
        <w:t xml:space="preserve">Baker, N.P.M. (2026a–n). Developmental agent programme papers v1.0–v1.12. Synapstak Ltd. Available at: github.com/RancidShack/developmental-agent</w:t>
      </w:r>
    </w:p>
    <w:p>
      <w:pPr>
        <w:spacing w:after="120" w:before="80"/>
      </w:pPr>
      <w:r>
        <w:rPr>
          <w:rFonts w:ascii="Arial" w:cs="Arial" w:eastAsia="Arial" w:hAnsi="Arial"/>
          <w:sz w:val="22"/>
          <w:szCs w:val="22"/>
        </w:rPr>
        <w:t xml:space="preserve">Bowlby, J. (1969). Attachment and Loss, Vol. 1: Attachment. London: Hogarth Press.</w:t>
      </w:r>
    </w:p>
    <w:p>
      <w:pPr>
        <w:spacing w:after="120" w:before="80"/>
      </w:pPr>
      <w:r>
        <w:rPr>
          <w:rFonts w:ascii="Arial" w:cs="Arial" w:eastAsia="Arial" w:hAnsi="Arial"/>
          <w:sz w:val="22"/>
          <w:szCs w:val="22"/>
        </w:rPr>
        <w:t xml:space="preserve">Dewey, J. (1938). Experience and Education. New York: Macmillan.</w:t>
      </w:r>
    </w:p>
    <w:p>
      <w:pPr>
        <w:spacing w:after="120" w:before="80"/>
      </w:pPr>
      <w:r>
        <w:rPr>
          <w:rFonts w:ascii="Arial" w:cs="Arial" w:eastAsia="Arial" w:hAnsi="Arial"/>
          <w:sz w:val="22"/>
          <w:szCs w:val="22"/>
        </w:rPr>
        <w:t xml:space="preserve">Ma, Y., Tsao, D., &amp; Shum, H. (2022). On the principles of parsimony and self-consistency for the emergence of intelligence. Frontiers of Information Technology &amp; Electronic Engineering, 23, 1298–1323.</w:t>
      </w:r>
    </w:p>
    <w:p>
      <w:pPr>
        <w:spacing w:after="120" w:before="80"/>
      </w:pPr>
      <w:r>
        <w:rPr>
          <w:rFonts w:ascii="Arial" w:cs="Arial" w:eastAsia="Arial" w:hAnsi="Arial"/>
          <w:sz w:val="22"/>
          <w:szCs w:val="22"/>
        </w:rPr>
        <w:t xml:space="preserve">Montessori, M. (1912). The Montessori Method. New York: Frederick A. Stokes Company.</w:t>
      </w:r>
    </w:p>
    <w:p>
      <w:pPr>
        <w:spacing w:after="120" w:before="80"/>
      </w:pPr>
      <w:r>
        <w:rPr>
          <w:rFonts w:ascii="Arial" w:cs="Arial" w:eastAsia="Arial" w:hAnsi="Arial"/>
          <w:sz w:val="22"/>
          <w:szCs w:val="22"/>
        </w:rPr>
        <w:t xml:space="preserve">Peirce, C.S. (1883). A theory of probable inference. In Studies in Logic. Boston: Little, Brown.</w:t>
      </w:r>
    </w:p>
    <w:p>
      <w:pPr>
        <w:spacing w:after="120" w:before="80"/>
      </w:pPr>
      <w:r>
        <w:rPr>
          <w:rFonts w:ascii="Arial" w:cs="Arial" w:eastAsia="Arial" w:hAnsi="Arial"/>
          <w:sz w:val="22"/>
          <w:szCs w:val="22"/>
        </w:rPr>
        <w:t xml:space="preserve">Winnicott, D.W. (1953). Transitional objects and transitional phenomena. International Journal of Psycho-Analysis, 34, 89–97.</w:t>
      </w:r>
    </w:p>
    <w:p>
      <w:pPr>
        <w:spacing w:after="120" w:before="80"/>
      </w:pPr>
      <w:r>
        <w:rPr>
          <w:rFonts w:ascii="Arial" w:cs="Arial" w:eastAsia="Arial" w:hAnsi="Arial"/>
          <w:sz w:val="22"/>
          <w:szCs w:val="22"/>
        </w:rPr>
        <w:t xml:space="preserve">Winnicott, D.W. (1965). The Maturational Processes and the Facilitating Environment. London: Hogarth Press.</w:t>
      </w:r>
    </w:p>
    <w:p>
      <w:pPr>
        <w:pBdr>
          <w:bottom w:val="single" w:color="999999" w:sz="6"/>
        </w:pBdr>
        <w:spacing w:after="200" w:before="200"/>
      </w:pPr>
    </w:p>
    <w:p>
      <w:pPr>
        <w:pStyle w:val="Heading1"/>
        <w:spacing w:after="120" w:before="360"/>
      </w:pPr>
      <w:r>
        <w:rPr>
          <w:rFonts w:ascii="Arial" w:cs="Arial" w:eastAsia="Arial" w:hAnsi="Arial"/>
          <w:b/>
          <w:bCs/>
          <w:sz w:val="28"/>
          <w:szCs w:val="28"/>
        </w:rPr>
        <w:t xml:space="preserve">Appendix: Sub-version diagnostic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160"/>
        <w:gridCol w:w="3000"/>
      </w:tblGrid>
      <w:tr>
        <w:tc>
          <w:tcPr>
            <w:tcW w:type="dxa" w:w="1200"/>
            <w:tcBorders>
              <w:top w:val="single" w:color="CCCCCC" w:sz="4"/>
              <w:left w:val="single" w:color="CCCCCC" w:sz="4"/>
              <w:bottom w:val="single" w:color="CCCCCC" w:sz="4"/>
              <w:right w:val="single" w:color="CCCCCC" w:sz="4"/>
            </w:tcBorders>
            <w:shd w:fill="2C2C2A"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2000"/>
            <w:tcBorders>
              <w:top w:val="single" w:color="CCCCCC" w:sz="4"/>
              <w:left w:val="single" w:color="CCCCCC" w:sz="4"/>
              <w:bottom w:val="single" w:color="CCCCCC" w:sz="4"/>
              <w:right w:val="single" w:color="CCCCCC" w:sz="4"/>
            </w:tcBorders>
            <w:shd w:fill="2C2C2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160"/>
            <w:tcBorders>
              <w:top w:val="single" w:color="CCCCCC" w:sz="4"/>
              <w:left w:val="single" w:color="CCCCCC" w:sz="4"/>
              <w:bottom w:val="single" w:color="CCCCCC" w:sz="4"/>
              <w:right w:val="single" w:color="CCCCCC" w:sz="4"/>
            </w:tcBorders>
            <w:shd w:fill="2C2C2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fix</w:t>
            </w:r>
          </w:p>
        </w:tc>
        <w:tc>
          <w:tcPr>
            <w:tcW w:type="dxa" w:w="3000"/>
            <w:tcBorders>
              <w:top w:val="single" w:color="CCCCCC" w:sz="4"/>
              <w:left w:val="single" w:color="CCCCCC" w:sz="4"/>
              <w:bottom w:val="single" w:color="CCCCCC" w:sz="4"/>
              <w:right w:val="single" w:color="CCCCCC" w:sz="4"/>
            </w:tcBorders>
            <w:shd w:fill="2C2C2A" w:val="clear"/>
            <w:tcMar>
              <w:top w:type="dxa" w:w="80"/>
              <w:left w:type="dxa" w:w="120"/>
              <w:bottom w:type="dxa" w:w="80"/>
              <w:right w:type="dxa" w:w="120"/>
            </w:tcMar>
            <w:vAlign w:val="center"/>
          </w:tcPr>
          <w:p>
            <w:r>
              <w:rPr>
                <w:rFonts w:ascii="Arial" w:cs="Arial" w:eastAsia="Arial" w:hAnsi="Arial"/>
                <w:b/>
                <w:bCs/>
                <w:color w:val="FFFFFF"/>
                <w:sz w:val="20"/>
                <w:szCs w:val="20"/>
              </w:rPr>
              <w:t xml:space="preserve">Gate behaviour</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v1.13.0</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Partial</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Prediction mechanism introduced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Transfer gate broken</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v1.13.1</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Partial</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Transfer gate fixed; ENV2 activation bug identified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23/40 transfer (YELLOW+GREEN gate)</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v1.13.2</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Partial</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Depth-6 chains restored; premature ENV2 activation traced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23/40; activation at ENV2 step ~286</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v1.13.3</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Partial</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knowledge_banked + mastery_flag reset for ENV2</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23/40; same root cause remains</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v1.13.4</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Partial</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unreachable_hazards; Montessori gate; mastery_flag dict replacement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0/40 transfer — end_state never fires</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v1.13.5</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Partial</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att_blue detection fixed; individuation columns added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23/40 (gate still YELLOW+GREEN)</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v1.13.6</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Partial</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knowledge_banked removal from agent dict after init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Identical to v1.13.5 — wrong layer</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v1.13.7</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Partial</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world.knowledge_unlocked excludes unreachable_hazards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Arial" w:cs="Arial" w:eastAsia="Arial" w:hAnsi="Arial"/>
                <w:sz w:val="20"/>
                <w:szCs w:val="20"/>
              </w:rPr>
              <w:t xml:space="preserve">Identical — step-fraction phase gate</w:t>
            </w:r>
          </w:p>
        </w:tc>
      </w:tr>
      <w:tr>
        <w:tc>
          <w:tcPr>
            <w:tcW w:type="dxa" w:w="12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v1.13.8</w:t>
            </w:r>
          </w:p>
        </w:tc>
        <w:tc>
          <w:tcPr>
            <w:tcW w:type="dxa" w:w="20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Operative</w:t>
            </w:r>
          </w:p>
        </w:tc>
        <w:tc>
          <w:tcPr>
            <w:tcW w:type="dxa" w:w="316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Transfer gate checks world state directly; completion-based</w:t>
            </w:r>
          </w:p>
        </w:tc>
        <w:tc>
          <w:tcPr>
            <w:tcW w:type="dxa" w:w="3000"/>
            <w:tcBorders>
              <w:top w:val="single" w:color="CCCCCC" w:sz="4"/>
              <w:left w:val="single" w:color="CCCCCC" w:sz="4"/>
              <w:bottom w:val="single" w:color="CCCCCC" w:sz="4"/>
              <w:right w:val="single" w:color="CCCCCC" w:sz="4"/>
            </w:tcBorders>
            <w:shd w:fill="EAF3DE"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32/40 transfer; 29/32 confirmed</w:t>
            </w:r>
          </w:p>
        </w:tc>
      </w:tr>
    </w:tbl>
    <w:p>
      <w:pPr>
        <w:spacing w:after="160" w:before="60"/>
      </w:pPr>
      <w:r>
        <w:rPr>
          <w:rFonts w:ascii="Arial" w:cs="Arial" w:eastAsia="Arial" w:hAnsi="Arial"/>
          <w:i/>
          <w:iCs/>
          <w:sz w:val="20"/>
          <w:szCs w:val="20"/>
        </w:rPr>
        <w:t xml:space="preserve">Table A1. Sub-version diagnostic summary. The diagnostic trail is reported as part of the methodological record: the three gate failures (hazard_cells, knowledge_unlocked, step-fraction phase) each required a separate sub-version to isolate because each masked the next.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28"/>
      <w:szCs w:val="28"/>
    </w:rPr>
  </w:style>
  <w:style w:type="paragraph" w:styleId="Heading2">
    <w:name w:val="Heading 2"/>
    <w:basedOn w:val="Normal"/>
    <w:next w:val="Normal"/>
    <w:qFormat/>
    <w:pPr>
      <w:spacing w:after="100" w:before="280"/>
      <w:outlineLvl w:val="1"/>
    </w:pPr>
    <w:rPr>
      <w:rFonts w:ascii="Arial" w:cs="Arial" w:eastAsia="Arial" w:hAnsi="Arial"/>
      <w:b/>
      <w:bCs/>
      <w:sz w:val="24"/>
      <w:szCs w:val="24"/>
    </w:rPr>
  </w:style>
  <w:style w:type="paragraph" w:styleId="Heading3">
    <w:name w:val="Heading 3"/>
    <w:basedOn w:val="Normal"/>
    <w:next w:val="Normal"/>
    <w:qFormat/>
    <w:pPr>
      <w:spacing w:after="80" w:before="2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2026-05-07T18:48:09.434Z</dcterms:created>
  <dcterms:modified xsi:type="dcterms:W3CDTF">2026-05-07T18:48:09.448Z</dcterms:modified>
</cp:coreProperties>
</file>

<file path=docProps/custom.xml><?xml version="1.0" encoding="utf-8"?>
<Properties xmlns="http://schemas.openxmlformats.org/officeDocument/2006/custom-properties" xmlns:vt="http://schemas.openxmlformats.org/officeDocument/2006/docPropsVTypes"/>
</file>