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25500B8E">
      <w:pPr>
        <w:spacing w:after="120"/>
        <w:ind w:firstLine="480"/>
        <w:rPr>
          <w:rFonts w:hint="eastAsia" w:ascii="黑体" w:hAnsi="黑体" w:eastAsia="黑体" w:cs="黑体"/>
          <w:sz w:val="32"/>
          <w:szCs w:val="32"/>
        </w:rPr>
      </w:pPr>
      <w:r>
        <w:rPr>
          <w:rFonts w:hint="eastAsia" w:ascii="黑体" w:hAnsi="黑体" w:eastAsia="黑体" w:cs="黑体"/>
          <w:sz w:val="32"/>
          <w:szCs w:val="32"/>
        </w:rPr>
        <w:t>存算一体与AI基础设施：从讲座看软硬件学习方向</w:t>
      </w:r>
    </w:p>
    <w:p w14:paraId="260AEFC4">
      <w:pPr>
        <w:spacing w:after="120"/>
        <w:ind w:firstLine="480"/>
        <w:rPr>
          <w:rFonts w:hint="eastAsia" w:ascii="黑体" w:hAnsi="黑体" w:eastAsia="黑体" w:cs="黑体"/>
          <w:sz w:val="32"/>
          <w:szCs w:val="32"/>
        </w:rPr>
      </w:pPr>
      <w:r>
        <w:rPr>
          <w:rFonts w:hint="eastAsia" w:ascii="黑体" w:hAnsi="黑体" w:eastAsia="黑体" w:cs="黑体"/>
          <w:sz w:val="32"/>
          <w:szCs w:val="32"/>
        </w:rPr>
        <w:t>——双创课讲座学习报告</w:t>
      </w:r>
    </w:p>
    <w:p w14:paraId="6C8B020B">
      <w:pPr>
        <w:spacing w:after="120"/>
        <w:ind w:firstLine="480"/>
        <w:jc w:val="center"/>
      </w:pPr>
      <w:r>
        <w:rPr>
          <w:rFonts w:ascii="Times New Roman" w:hAnsi="Times New Roman" w:eastAsia="宋体"/>
          <w:sz w:val="24"/>
        </w:rPr>
        <w:t>姓名：__________　学号：__________　本科生导师/助教：__________</w:t>
      </w:r>
    </w:p>
    <w:p w14:paraId="561B052B">
      <w:pPr>
        <w:spacing w:after="120"/>
        <w:ind w:firstLine="480"/>
        <w:jc w:val="center"/>
        <w:rPr>
          <w:rFonts w:hint="eastAsia" w:ascii="黑体" w:hAnsi="黑体" w:eastAsia="黑体" w:cs="黑体"/>
          <w:sz w:val="30"/>
          <w:szCs w:val="30"/>
        </w:rPr>
      </w:pPr>
      <w:r>
        <w:rPr>
          <w:rFonts w:hint="eastAsia" w:ascii="黑体" w:hAnsi="黑体" w:eastAsia="黑体" w:cs="黑体"/>
          <w:sz w:val="30"/>
          <w:szCs w:val="30"/>
        </w:rPr>
        <w:t>摘要</w:t>
      </w:r>
    </w:p>
    <w:p w14:paraId="2C80D160">
      <w:pPr>
        <w:spacing w:after="120"/>
        <w:ind w:firstLine="480"/>
      </w:pPr>
      <w:r>
        <w:rPr>
          <w:rFonts w:ascii="Times New Roman" w:hAnsi="Times New Roman" w:eastAsia="宋体"/>
          <w:sz w:val="24"/>
        </w:rPr>
        <w:t>本文以“创新创业与存算一体技术分享”讲座为基础，围绕存算一体技术展开论述。文章梳理其技术背景、路线原理与未来方向，并从AI基础设施（AI Infra）视角，分析软件与硬件两个方向的学习侧重及其对信息科学专业学习路径的影响。</w:t>
      </w:r>
    </w:p>
    <w:p w14:paraId="0AAFD70B">
      <w:pPr>
        <w:spacing w:after="120"/>
        <w:ind w:firstLine="480"/>
      </w:pPr>
      <w:r>
        <w:rPr>
          <w:rFonts w:ascii="Times New Roman" w:hAnsi="Times New Roman" w:eastAsia="宋体"/>
          <w:sz w:val="24"/>
        </w:rPr>
        <w:t>一、概述</w:t>
      </w:r>
    </w:p>
    <w:p w14:paraId="0A50A8E3">
      <w:pPr>
        <w:spacing w:after="120"/>
        <w:ind w:firstLine="480"/>
      </w:pPr>
      <w:r>
        <w:rPr>
          <w:rFonts w:ascii="Times New Roman" w:hAnsi="Times New Roman" w:eastAsia="宋体"/>
          <w:sz w:val="24"/>
        </w:rPr>
        <w:t>2026年9月18日，北京大学创新创业学院联合智存科技举办了一场以“创新创业与存算一体技术分享”为主题的讲座。讲座前半部分介绍高校创新创业教育体系，后半部分围绕人工智能的计算需求与存算一体技术展开。讲座关于存算一体的内容，直面人工智能发展中的数据搬运瓶颈，并提出一套覆盖介质、架构、软件与整个系统的设计方案。同时，讲座引出可思考的问题：若以AI基础设施（AI Infra）为方向，学习重心应放在软件还是硬件上。本文先梳理存算一体技术的背景、原理与方向，再从这一视角分析它对AI Infra方向软硬件学习侧重的影响。</w:t>
      </w:r>
    </w:p>
    <w:p w14:paraId="4B27EB1D">
      <w:pPr>
        <w:spacing w:after="120"/>
        <w:ind w:firstLine="480"/>
      </w:pPr>
      <w:r>
        <w:rPr>
          <w:rFonts w:ascii="Times New Roman" w:hAnsi="Times New Roman" w:eastAsia="宋体"/>
          <w:sz w:val="24"/>
        </w:rPr>
        <w:t>二、正文</w:t>
      </w:r>
    </w:p>
    <w:p w14:paraId="137AF826">
      <w:pPr>
        <w:spacing w:after="120"/>
        <w:ind w:firstLine="480"/>
      </w:pPr>
      <w:r>
        <w:rPr>
          <w:rFonts w:ascii="Times New Roman" w:hAnsi="Times New Roman" w:eastAsia="宋体"/>
          <w:sz w:val="24"/>
        </w:rPr>
        <w:t>（一）技术背景：AI计算需求增长与“存储墙”瓶颈</w:t>
      </w:r>
    </w:p>
    <w:p w14:paraId="7CC391C7">
      <w:pPr>
        <w:spacing w:after="120"/>
        <w:ind w:firstLine="480"/>
      </w:pPr>
      <w:r>
        <w:rPr>
          <w:rFonts w:ascii="Times New Roman" w:hAnsi="Times New Roman" w:eastAsia="宋体"/>
          <w:sz w:val="24"/>
        </w:rPr>
        <w:t>人工智能模型规模与计算需求快速增长，云端多模态生成、端侧智能、具身智能与边缘生产力等场景持续释放新的算力需求。讲座用数据展示了这种增长：基础语音交互约对应50亿参数的模型，需10GB存储容量与40Gbps带宽；信息总结处理升至300亿参数，算力要求达20TOPS、带宽480Gbps；逻辑推理与具身智能场景的要求更高。传统计算机建立在冯·诺依曼架构之上，存储与计算分离，数据需在二者之间反复搬运。算力增长快于带宽增长，数据搬运成为性能与能耗的主要瓶颈，即“存储墙”“功耗墙”。</w:t>
      </w:r>
      <w:bookmarkStart w:id="0" w:name="_GoBack"/>
      <w:bookmarkEnd w:id="0"/>
      <w:r>
        <w:rPr>
          <w:rFonts w:ascii="Times New Roman" w:hAnsi="Times New Roman" w:eastAsia="宋体"/>
          <w:sz w:val="24"/>
        </w:rPr>
        <w:t>存储与数据搬运已成为当前计算系统的主要瓶颈。</w:t>
      </w:r>
    </w:p>
    <w:p w14:paraId="38197932">
      <w:pPr>
        <w:spacing w:after="120"/>
        <w:ind w:firstLine="480"/>
      </w:pPr>
      <w:r>
        <w:rPr>
          <w:rFonts w:ascii="Times New Roman" w:hAnsi="Times New Roman" w:eastAsia="宋体"/>
          <w:sz w:val="24"/>
        </w:rPr>
        <w:t>（二）技术路线：近存计算与存内计算</w:t>
      </w:r>
    </w:p>
    <w:p w14:paraId="4113C595">
      <w:pPr>
        <w:spacing w:after="120"/>
        <w:ind w:firstLine="480"/>
      </w:pPr>
      <w:r>
        <w:rPr>
          <w:rFonts w:ascii="Times New Roman" w:hAnsi="Times New Roman" w:eastAsia="宋体"/>
          <w:sz w:val="24"/>
        </w:rPr>
        <w:t>存算一体分两类路线。近存计算缩短存储与计算的物理距离，降低搬运功耗，典型如借助先进封装集成的高带宽存储。存内计算将存储与计算融为一体，让存储器件直接参与计算，能效提升明显。存内计算又分模拟域与数字域：模拟域在阵列内完成向量矩阵乘，能效可提升约两个数量级，但精度控制要求高、需算法适配、通用性弱；数字域灵活，支持多精度多算法，但面积与功耗开销更大。两条路径各有取舍，体现“能效—精度—通用性”的权衡。周正等将计算范式分为存算分离、近存计算与存内计算三类，并指出存内计算在基本单元内同时实现计算与存储，从源头缓解数据搬运问题[2]。</w:t>
      </w:r>
    </w:p>
    <w:p w14:paraId="45960B6F">
      <w:pPr>
        <w:spacing w:after="120"/>
        <w:ind w:firstLine="480"/>
      </w:pPr>
      <w:r>
        <w:rPr>
          <w:rFonts w:ascii="Times New Roman" w:hAnsi="Times New Roman" w:eastAsia="宋体"/>
          <w:sz w:val="24"/>
        </w:rPr>
        <w:t>（三）实现原理与主要挑战</w:t>
      </w:r>
    </w:p>
    <w:p w14:paraId="36ADA344">
      <w:pPr>
        <w:spacing w:after="120"/>
        <w:ind w:firstLine="480"/>
      </w:pPr>
      <w:r>
        <w:rPr>
          <w:rFonts w:ascii="Times New Roman" w:hAnsi="Times New Roman" w:eastAsia="宋体"/>
          <w:sz w:val="24"/>
        </w:rPr>
        <w:t>存算一体的基本运算是向量矩阵乘。讲座以浮栅结构模拟存算阵列为例：权重以存储单元的物理状态写入阵列，输入作用于阵列的行，通过电流在列上累加出乘加结果，在阵列内部完成矩阵运算。基于此类阵列的存内计算，已在深度学习推理加速、类脑计算等方向得到探索应用[2]。实际应用面临若干难题：速度受电阻—电容（RC）延迟制约，可分解为输入、阵列、输出三部分延迟，阵列越大，单位计算效率越高而速度越慢；精度由多个独立噪声源共同决定，阵列越大，精度控制越难。介质层面，NOR Flash受工艺限制，存储密度存在上限；理想存算介质需达到每平方毫米GB量级密度、约10亿次擦写次数与低更新延迟。</w:t>
      </w:r>
    </w:p>
    <w:p w14:paraId="37105940">
      <w:pPr>
        <w:spacing w:after="120"/>
        <w:ind w:firstLine="480"/>
      </w:pPr>
      <w:r>
        <w:rPr>
          <w:rFonts w:ascii="Times New Roman" w:hAnsi="Times New Roman" w:eastAsia="宋体"/>
          <w:sz w:val="24"/>
        </w:rPr>
        <w:t>（四）未来方向：介质、架构、软件与系统协同</w:t>
      </w:r>
    </w:p>
    <w:p w14:paraId="01A6BBC6">
      <w:pPr>
        <w:spacing w:after="120"/>
        <w:ind w:firstLine="480"/>
      </w:pPr>
      <w:r>
        <w:rPr>
          <w:rFonts w:ascii="Times New Roman" w:hAnsi="Times New Roman" w:eastAsia="宋体"/>
          <w:sz w:val="24"/>
        </w:rPr>
        <w:t>存算一体落地需多层面协同。讲座将其归纳为四层：介质层探索新型存储介质；架构层通过2.5D/3D先进封装实现多介质异构集成；软件层适配异构存算的编译工具链、优化资源分配；部署层配平节点延迟与带宽，实现流水并行。讲座还谈到软硬件协同部署：高频算子固化到硬件，长尾复杂逻辑用软件实现；存算优先适配矩阵类任务，标量运算与控制逻辑映射到通用计算单元，其软件开发逻辑与基于GPU的计算抽象相近。存算一体与现有通用计算平台形成异构互补。</w:t>
      </w:r>
    </w:p>
    <w:p w14:paraId="01805FF7">
      <w:pPr>
        <w:spacing w:after="120"/>
        <w:ind w:firstLine="480"/>
      </w:pPr>
      <w:r>
        <w:rPr>
          <w:rFonts w:ascii="Times New Roman" w:hAnsi="Times New Roman" w:eastAsia="宋体"/>
          <w:sz w:val="24"/>
        </w:rPr>
        <w:t>（五）对AI Infra方向的软硬件学习侧重分析</w:t>
      </w:r>
    </w:p>
    <w:p w14:paraId="62F01A27">
      <w:pPr>
        <w:spacing w:after="120"/>
        <w:ind w:firstLine="480"/>
      </w:pPr>
      <w:r>
        <w:rPr>
          <w:rFonts w:ascii="Times New Roman" w:hAnsi="Times New Roman" w:eastAsia="宋体"/>
          <w:sz w:val="24"/>
        </w:rPr>
        <w:t>讲座说明，AI Infra的基础设施包含软件与硬件，两者构成软硬件协同的系统工程。“介质—架构—软件—系统”四层协同的思路，对应AI Infra从业者的职责范围。据此可区分软件与硬件两个方向的学习侧重。</w:t>
      </w:r>
    </w:p>
    <w:p w14:paraId="0B356CFA">
      <w:pPr>
        <w:spacing w:after="120"/>
        <w:ind w:firstLine="480"/>
      </w:pPr>
      <w:r>
        <w:rPr>
          <w:rFonts w:ascii="Times New Roman" w:hAnsi="Times New Roman" w:eastAsia="宋体"/>
          <w:sz w:val="24"/>
        </w:rPr>
        <w:t>硬件方向的学习落到器件、电路与架构三个层次。存算一体技术表明，存储介质（非易失存储器、新型存储器件）决定计算能力的上限；电路层面需理解向量矩阵乘如何执行、能效与精度如何权衡；架构层面需把握近存与存内、多介质异构集成等计算组织思路。掌握器件特性，有助于理解AI加速芯片的能效与精度边界。这些知识偏向芯片，却构成AI Infra工程师判断某类模型运行平台的基础。毛海宇等对内存计算的综述也强调，器件与微体系结构是理解内存计算技术的起点[1]。</w:t>
      </w:r>
    </w:p>
    <w:p w14:paraId="6704CC88">
      <w:pPr>
        <w:spacing w:after="120"/>
        <w:ind w:firstLine="480"/>
      </w:pPr>
      <w:r>
        <w:rPr>
          <w:rFonts w:ascii="Times New Roman" w:hAnsi="Times New Roman" w:eastAsia="宋体"/>
          <w:sz w:val="24"/>
        </w:rPr>
        <w:t>软件方向的学习以系统与编译的抽象能力为主。存算一体的软件适配思路——高频算子固化硬件、长尾逻辑留在软件、矩阵类任务优先下沉——体现“硬件感知的软件设计”。工程师需掌握大模型的拆分与部署，通过编译器与工具链把计算映射到异构硬件，并完成节点间的带宽配平与延迟优化。这套能力是AI Infra中系统、编译器、调度等方向共同需要的基础。</w:t>
      </w:r>
    </w:p>
    <w:p w14:paraId="1C92EF7C">
      <w:pPr>
        <w:spacing w:after="120"/>
        <w:ind w:firstLine="480"/>
      </w:pPr>
      <w:r>
        <w:rPr>
          <w:rFonts w:ascii="Times New Roman" w:hAnsi="Times New Roman" w:eastAsia="宋体"/>
          <w:sz w:val="24"/>
        </w:rPr>
        <w:t>在AI Infra方向，软件与硬件学习相互关联，构成软硬协同的两部分：硬件决定系统性能上限，软件决定这一上限能否落到实际。对从业者而言，打牢体系结构与操作系统底层知识，理解编译与模型部署的软件栈，并在具体项目中观察软硬件如何共同决定AI系统的性能与能效，是较扎实的学习路径。</w:t>
      </w:r>
    </w:p>
    <w:p w14:paraId="6244B520">
      <w:pPr>
        <w:spacing w:after="120"/>
        <w:ind w:firstLine="480"/>
      </w:pPr>
      <w:r>
        <w:rPr>
          <w:rFonts w:ascii="Times New Roman" w:hAnsi="Times New Roman" w:eastAsia="宋体"/>
          <w:sz w:val="24"/>
        </w:rPr>
        <w:t>三、结论</w:t>
      </w:r>
    </w:p>
    <w:p w14:paraId="215D0571">
      <w:pPr>
        <w:spacing w:after="120"/>
        <w:ind w:firstLine="480"/>
      </w:pPr>
      <w:r>
        <w:rPr>
          <w:rFonts w:ascii="Times New Roman" w:hAnsi="Times New Roman" w:eastAsia="宋体"/>
          <w:sz w:val="24"/>
        </w:rPr>
        <w:t>存算一体针对数据搬运瓶颈，提出近存计算与存内计算两条技术路线，并需在介质、架构、软件、系统四个层面协同推进。从AI Infra角度看，这一技术的本质是软硬协同：硬件决定系统性能上限，软件决定上限能否落到实际。学习路径以体系结构与系统底层为基础，贯通编译与模型部署的软件栈，并通过软硬件结合的实践检验所学，这是信息科学专业学习中值得坚持的方向。</w:t>
      </w:r>
    </w:p>
    <w:p w14:paraId="24C3C7C8">
      <w:pPr>
        <w:spacing w:after="120"/>
        <w:ind w:firstLine="480"/>
        <w:jc w:val="center"/>
        <w:rPr>
          <w:rFonts w:hint="eastAsia" w:ascii="黑体" w:hAnsi="黑体" w:eastAsia="黑体" w:cs="黑体"/>
          <w:sz w:val="30"/>
          <w:szCs w:val="30"/>
        </w:rPr>
      </w:pPr>
      <w:r>
        <w:rPr>
          <w:rFonts w:hint="eastAsia" w:ascii="黑体" w:hAnsi="黑体" w:eastAsia="黑体" w:cs="黑体"/>
          <w:sz w:val="30"/>
          <w:szCs w:val="30"/>
        </w:rPr>
        <w:t>参考文献</w:t>
      </w:r>
    </w:p>
    <w:p w14:paraId="40119940">
      <w:pPr>
        <w:spacing w:after="120"/>
        <w:ind w:firstLine="480"/>
      </w:pPr>
      <w:r>
        <w:rPr>
          <w:rFonts w:ascii="Times New Roman" w:hAnsi="Times New Roman" w:eastAsia="宋体"/>
          <w:sz w:val="24"/>
        </w:rPr>
        <w:t>[1] 毛海宇，舒继武，李飞，等. 内存计算研究进展[J]. 中国科学：信息科学，2021，51(2)：173-205. DOI：10.1360/ssi-2020-0037</w:t>
      </w:r>
    </w:p>
    <w:p w14:paraId="6B600A96">
      <w:pPr>
        <w:spacing w:after="120"/>
        <w:ind w:firstLine="480"/>
      </w:pPr>
      <w:r>
        <w:rPr>
          <w:rFonts w:ascii="Times New Roman" w:hAnsi="Times New Roman" w:eastAsia="宋体"/>
          <w:sz w:val="24"/>
        </w:rPr>
        <w:t>[2] 周正，黄鹏，康晋锋. 基于非挥发存储器的存内计算技术[J]. 物理学报，2022，71(14)：148507. DOI：10.7498/aps.71.20220397</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PingFang SC Regular">
    <w:panose1 w:val="020B0400000000000000"/>
    <w:charset w:val="86"/>
    <w:family w:val="auto"/>
    <w:pitch w:val="default"/>
    <w:sig w:usb0="A00002FF" w:usb1="7ACFFDFB" w:usb2="00000017" w:usb3="00000000" w:csb0="00040001" w:csb1="00000000"/>
  </w:font>
  <w:font w:name="HYJunHei 55J">
    <w:panose1 w:val="020B0604020202020204"/>
    <w:charset w:val="86"/>
    <w:family w:val="auto"/>
    <w:pitch w:val="default"/>
    <w:sig w:usb0="A00002BF" w:usb1="0ACF7CFA" w:usb2="00000016" w:usb3="00000000" w:csb0="2004000F" w:csb1="00000000"/>
  </w:font>
  <w:font w:name="HYQiHeiKW 55S">
    <w:panose1 w:val="00020600040101010101"/>
    <w:charset w:val="86"/>
    <w:family w:val="auto"/>
    <w:pitch w:val="default"/>
    <w:sig w:usb0="A00002BF" w:usb1="3ACF7CFA" w:usb2="00000016" w:usb3="00000000" w:csb0="0004009F" w:csb1="DFD70000"/>
  </w:font>
  <w:font w:name="Heiti TC Light">
    <w:panose1 w:val="02000000000000000000"/>
    <w:charset w:val="86"/>
    <w:family w:val="auto"/>
    <w:pitch w:val="default"/>
    <w:sig w:usb0="8000002F" w:usb1="0800004A" w:usb2="00000000" w:usb3="00000000" w:csb0="203E0000" w:csb1="00000000"/>
  </w:font>
  <w:font w:name="Heiti SC Light">
    <w:panose1 w:val="02000000000000000000"/>
    <w:charset w:val="86"/>
    <w:family w:val="auto"/>
    <w:pitch w:val="default"/>
    <w:sig w:usb0="8000002F" w:usb1="0800004A" w:usb2="00000000" w:usb3="00000000" w:csb0="203E0000" w:csb1="00000000"/>
  </w:font>
  <w:font w:name="黑体">
    <w:altName w:val="汉仪中黑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Hiragino Sans GB W3">
    <w:panose1 w:val="020B0300000000000000"/>
    <w:charset w:val="86"/>
    <w:family w:val="auto"/>
    <w:pitch w:val="default"/>
    <w:sig w:usb0="A00002BF" w:usb1="1ACF7CFA" w:usb2="00000016" w:usb3="00000000" w:csb0="000600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2"/>
  <w:displayBackgroundShape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D7691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陈犀</cp:lastModifiedBy>
  <dcterms:modified xsi:type="dcterms:W3CDTF">2026-09-29T09:23:19Z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5652E2EF4903D47E0713BB6A14DDD0C6_42</vt:lpwstr>
  </property>
</Properties>
</file>