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27735698bbc7274f43ae81cc7b4895f0a3ea93d"/>
    <w:p>
      <w:pPr>
        <w:pStyle w:val="Heading1"/>
      </w:pPr>
      <w:r>
        <w:t xml:space="preserve">Guia da codificação das Funções de Mediação (rodada final, v0.4)</w:t>
      </w:r>
    </w:p>
    <w:p>
      <w:pPr>
        <w:pStyle w:val="FirstParagraph"/>
      </w:pPr>
      <w:r>
        <w:rPr>
          <w:b/>
          <w:bCs/>
        </w:rPr>
        <w:t xml:space="preserve">Para:</w:t>
      </w:r>
      <w:r>
        <w:t xml:space="preserve"> </w:t>
      </w:r>
      <w:r>
        <w:t xml:space="preserve">codificador(a) convidado(a)</w:t>
      </w:r>
      <w:r>
        <w:t xml:space="preserve"> </w:t>
      </w:r>
      <w:r>
        <w:rPr>
          <w:b/>
          <w:bCs/>
        </w:rPr>
        <w:t xml:space="preserve">De:</w:t>
      </w:r>
      <w:r>
        <w:t xml:space="preserve"> </w:t>
      </w:r>
      <w:r>
        <w:t xml:space="preserve">Randerson O. M. Rebouças (randerson.melville@gmail.com)</w:t>
      </w:r>
      <w:r>
        <w:t xml:space="preserve"> </w:t>
      </w:r>
      <w:r>
        <w:rPr>
          <w:b/>
          <w:bCs/>
        </w:rPr>
        <w:t xml:space="preserve">Data:</w:t>
      </w:r>
      <w:r>
        <w:t xml:space="preserve"> </w:t>
      </w:r>
      <w:r>
        <w:t xml:space="preserve">22 de agosto de 2026</w:t>
      </w:r>
      <w:r>
        <w:t xml:space="preserve"> </w:t>
      </w:r>
      <w:r>
        <w:rPr>
          <w:b/>
          <w:bCs/>
        </w:rPr>
        <w:t xml:space="preserve">Material:</w:t>
      </w:r>
      <w:r>
        <w:t xml:space="preserve"> </w:t>
      </w:r>
      <w:r>
        <w:t xml:space="preserve">protocolo v0.4 + anexo de calibração + sua planilha individual no Google Sheets</w:t>
      </w:r>
      <w:r>
        <w:t xml:space="preserve"> </w:t>
      </w:r>
      <w:r>
        <w:rPr>
          <w:b/>
          <w:bCs/>
        </w:rPr>
        <w:t xml:space="preserve">Esforço estimado:</w:t>
      </w:r>
      <w:r>
        <w:t xml:space="preserve"> </w:t>
      </w:r>
      <w:r>
        <w:t xml:space="preserve">cerca de 10 horas, em várias sessões</w:t>
      </w:r>
      <w:r>
        <w:t xml:space="preserve"> </w:t>
      </w:r>
      <w:r>
        <w:rPr>
          <w:b/>
          <w:bCs/>
        </w:rPr>
        <w:t xml:space="preserve">Devolução:</w:t>
      </w:r>
      <w:r>
        <w:t xml:space="preserve"> </w:t>
      </w:r>
      <w:r>
        <w:t xml:space="preserve">até 2 de setembro de 2026</w:t>
      </w:r>
    </w:p>
    <w:p>
      <w:r>
        <w:pict>
          <v:rect style="width:0;height:1.5pt" o:hralign="center" o:hrstd="t" o:hr="t"/>
        </w:pict>
      </w:r>
    </w:p>
    <w:bookmarkStart w:id="9" w:name="em-uma-frase"/>
    <w:p>
      <w:pPr>
        <w:pStyle w:val="Heading2"/>
      </w:pPr>
      <w:r>
        <w:t xml:space="preserve">Em uma frase</w:t>
      </w:r>
    </w:p>
    <w:p>
      <w:pPr>
        <w:pStyle w:val="FirstParagraph"/>
      </w:pPr>
      <w:r>
        <w:t xml:space="preserve">Você vai ler 39 devolutivas escritas para textos de alunos e registrar, em cada uma, quais dos</w:t>
      </w:r>
      <w:r>
        <w:t xml:space="preserve"> </w:t>
      </w:r>
      <w:r>
        <w:t xml:space="preserve">oito movimentos de mediação ela realiza, mais uma coluna sobre o objeto de que a devolutiva fala.</w:t>
      </w:r>
    </w:p>
    <w:bookmarkEnd w:id="9"/>
    <w:bookmarkStart w:id="10" w:name="por-que-a-tarefa-existe"/>
    <w:p>
      <w:pPr>
        <w:pStyle w:val="Heading2"/>
      </w:pPr>
      <w:r>
        <w:t xml:space="preserve">Por que a tarefa existe</w:t>
      </w:r>
    </w:p>
    <w:p>
      <w:pPr>
        <w:pStyle w:val="FirstParagraph"/>
      </w:pPr>
      <w:r>
        <w:t xml:space="preserve">O artigo está em revisão numa revista científica e os avaliadores pediram uma validação de</w:t>
      </w:r>
      <w:r>
        <w:t xml:space="preserve"> </w:t>
      </w:r>
      <w:r>
        <w:t xml:space="preserve">confiabilidade da codificação. Duas pessoas codificam o mesmo material, de forma independente, e a</w:t>
      </w:r>
      <w:r>
        <w:t xml:space="preserve"> </w:t>
      </w:r>
      <w:r>
        <w:t xml:space="preserve">concordância entre as duas leituras vira uma medida publicada. É por isso que a independência</w:t>
      </w:r>
      <w:r>
        <w:t xml:space="preserve"> </w:t>
      </w:r>
      <w:r>
        <w:t xml:space="preserve">importa mais do que a rapidez: o valor do procedimento está em você decidir sozinho.</w:t>
      </w:r>
    </w:p>
    <w:bookmarkEnd w:id="10"/>
    <w:bookmarkStart w:id="11" w:name="ordem-de-leitura"/>
    <w:p>
      <w:pPr>
        <w:pStyle w:val="Heading2"/>
      </w:pPr>
      <w:r>
        <w:t xml:space="preserve">Ordem de leitura</w:t>
      </w:r>
    </w:p>
    <w:p>
      <w:pPr>
        <w:pStyle w:val="Compact"/>
        <w:numPr>
          <w:ilvl w:val="0"/>
          <w:numId w:val="1001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protocolo v0.4</w:t>
      </w:r>
      <w:r>
        <w:t xml:space="preserve">. É o instrumento. Preste atenção especial à seção 3.0 (regra de validade mínima) e às oito definições da seção 3.2.</w:t>
      </w:r>
    </w:p>
    <w:p>
      <w:pPr>
        <w:pStyle w:val="Compact"/>
        <w:numPr>
          <w:ilvl w:val="0"/>
          <w:numId w:val="1001"/>
        </w:numPr>
      </w:pPr>
      <w:r>
        <w:t xml:space="preserve">O</w:t>
      </w:r>
      <w:r>
        <w:t xml:space="preserve"> </w:t>
      </w:r>
      <w:r>
        <w:rPr>
          <w:b/>
          <w:bCs/>
        </w:rPr>
        <w:t xml:space="preserve">anexo de calibração</w:t>
      </w:r>
      <w:r>
        <w:t xml:space="preserve">, com treze exemplos resolvidos. Cubra o vetor, decida, depois confira.</w:t>
      </w:r>
    </w:p>
    <w:p>
      <w:pPr>
        <w:pStyle w:val="Compact"/>
        <w:numPr>
          <w:ilvl w:val="0"/>
          <w:numId w:val="1001"/>
        </w:numPr>
      </w:pPr>
      <w:r>
        <w:t xml:space="preserve">Só então abra a planilha.</w:t>
      </w:r>
    </w:p>
    <w:p>
      <w:pPr>
        <w:pStyle w:val="FirstParagraph"/>
      </w:pPr>
      <w:r>
        <w:t xml:space="preserve">Se algum exemplo do anexo parecer mal resolvido, me escreva</w:t>
      </w:r>
      <w:r>
        <w:t xml:space="preserve"> </w:t>
      </w:r>
      <w:r>
        <w:rPr>
          <w:b/>
          <w:bCs/>
        </w:rPr>
        <w:t xml:space="preserve">antes</w:t>
      </w:r>
      <w:r>
        <w:t xml:space="preserve"> </w:t>
      </w:r>
      <w:r>
        <w:t xml:space="preserve">de começar. Depois que a</w:t>
      </w:r>
      <w:r>
        <w:t xml:space="preserve"> </w:t>
      </w:r>
      <w:r>
        <w:t xml:space="preserve">codificação começar, o protocolo está congelado e dúvidas viram anotação, não mudança de regra.</w:t>
      </w:r>
    </w:p>
    <w:bookmarkEnd w:id="11"/>
    <w:bookmarkStart w:id="12" w:name="a-planilha"/>
    <w:p>
      <w:pPr>
        <w:pStyle w:val="Heading2"/>
      </w:pPr>
      <w:r>
        <w:t xml:space="preserve">A planilha</w:t>
      </w:r>
    </w:p>
    <w:p>
      <w:pPr>
        <w:pStyle w:val="FirstParagraph"/>
      </w:pPr>
      <w:r>
        <w:t xml:space="preserve">Uma devolutiva por linha, identificada só por código (</w:t>
      </w:r>
      <w:r>
        <w:rPr>
          <w:rStyle w:val="VerbatimChar"/>
        </w:rPr>
        <w:t xml:space="preserve">R01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R39</w:t>
      </w:r>
      <w:r>
        <w:t xml:space="preserve">), em ordem embaralhada.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Coluna</w:t>
            </w:r>
          </w:p>
        </w:tc>
        <w:tc>
          <w:tcPr/>
          <w:p>
            <w:pPr>
              <w:pStyle w:val="Compact"/>
            </w:pPr>
            <w:r>
              <w:t xml:space="preserve">O que fazer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não mexer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Texto do aluno</w:t>
            </w:r>
          </w:p>
        </w:tc>
        <w:tc>
          <w:tcPr/>
          <w:p>
            <w:pPr>
              <w:pStyle w:val="Compact"/>
            </w:pPr>
            <w:r>
              <w:t xml:space="preserve">ler, é o texto fictício que originou a devolutiva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Devolutiva</w:t>
            </w:r>
          </w:p>
        </w:tc>
        <w:tc>
          <w:tcPr/>
          <w:p>
            <w:pPr>
              <w:pStyle w:val="Compact"/>
            </w:pPr>
            <w:r>
              <w:t xml:space="preserve">ler, é o que você vai codificar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FM01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rStyle w:val="VerbatimChar"/>
              </w:rPr>
              <w:t xml:space="preserve">FM08</w:t>
            </w:r>
          </w:p>
        </w:tc>
        <w:tc>
          <w:tcPr/>
          <w:p>
            <w:pPr>
              <w:pStyle w:val="Compact"/>
            </w:pPr>
            <w:r>
              <w:t xml:space="preserve">escrever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(presente) ou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 </w:t>
            </w:r>
            <w:r>
              <w:t xml:space="preserve">(ausente)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MTL</w:t>
            </w:r>
          </w:p>
        </w:tc>
        <w:tc>
          <w:tcPr/>
          <w:p>
            <w:pPr>
              <w:pStyle w:val="Compact"/>
            </w:pPr>
            <w:r>
              <w:t xml:space="preserve">escrever</w:t>
            </w:r>
            <w:r>
              <w:t xml:space="preserve"> </w:t>
            </w: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ou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Observações</w:t>
            </w:r>
          </w:p>
        </w:tc>
        <w:tc>
          <w:tcPr/>
          <w:p>
            <w:pPr>
              <w:pStyle w:val="Compact"/>
            </w:pPr>
            <w:r>
              <w:t xml:space="preserve">texto livre, obrigatório nos casos descritos abaixo</w:t>
            </w:r>
          </w:p>
        </w:tc>
      </w:tr>
    </w:tbl>
    <w:p>
      <w:pPr>
        <w:pStyle w:val="BodyText"/>
      </w:pPr>
      <w:r>
        <w:t xml:space="preserve">São 39 × 9 = 351 decisões. Use apenas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0</w:t>
      </w:r>
      <w:r>
        <w:t xml:space="preserve">, sem</w:t>
      </w:r>
      <w:r>
        <w:t xml:space="preserve"> </w:t>
      </w:r>
      <w:r>
        <w:t xml:space="preserve">“x”</w:t>
      </w:r>
      <w:r>
        <w:t xml:space="preserve">, sem</w:t>
      </w:r>
      <w:r>
        <w:t xml:space="preserve"> </w:t>
      </w:r>
      <w:r>
        <w:t xml:space="preserve">“sim”</w:t>
      </w:r>
      <w:r>
        <w:t xml:space="preserve">, sem célula em branco. A</w:t>
      </w:r>
      <w:r>
        <w:t xml:space="preserve"> </w:t>
      </w:r>
      <w:r>
        <w:t xml:space="preserve">planilha é sua: ninguém mais tem acesso a ela.</w:t>
      </w:r>
    </w:p>
    <w:bookmarkEnd w:id="12"/>
    <w:bookmarkStart w:id="13" w:name="duas-varreduras-não-uma"/>
    <w:p>
      <w:pPr>
        <w:pStyle w:val="Heading2"/>
      </w:pPr>
      <w:r>
        <w:t xml:space="preserve">Duas varreduras, não uma</w:t>
      </w:r>
    </w:p>
    <w:p>
      <w:pPr>
        <w:pStyle w:val="FirstParagraph"/>
      </w:pPr>
      <w:r>
        <w:rPr>
          <w:b/>
          <w:bCs/>
        </w:rPr>
        <w:t xml:space="preserve">Preencha FM01 a FM08 nas 39 linhas primeiro. Só depois volte ao começo e preencha a coluna MTL.</w:t>
      </w:r>
    </w:p>
    <w:p>
      <w:pPr>
        <w:pStyle w:val="BodyText"/>
      </w:pPr>
      <w:r>
        <w:t xml:space="preserve">O motivo é metodológico e vale o incômodo: FM02 (nomear o problema) e MTL são vizinhos</w:t>
      </w:r>
      <w:r>
        <w:t xml:space="preserve"> </w:t>
      </w:r>
      <w:r>
        <w:t xml:space="preserve">conceituais, e decidir as duas na mesma leitura faz uma arrastar a outra. As duas colunas alimentam</w:t>
      </w:r>
      <w:r>
        <w:t xml:space="preserve"> </w:t>
      </w:r>
      <w:r>
        <w:t xml:space="preserve">análises diferentes e precisam ser julgamentos independentes. Se puder dar um intervalo entre as</w:t>
      </w:r>
      <w:r>
        <w:t xml:space="preserve"> </w:t>
      </w:r>
      <w:r>
        <w:t xml:space="preserve">duas passadas, melhor ainda.</w:t>
      </w:r>
    </w:p>
    <w:bookmarkEnd w:id="13"/>
    <w:bookmarkStart w:id="14" w:name="X6b23ecb3da907a791d48b8565549e8a0ed434e3"/>
    <w:p>
      <w:pPr>
        <w:pStyle w:val="Heading2"/>
      </w:pPr>
      <w:r>
        <w:t xml:space="preserve">O que mudou nesta versão do instrumento, e é o coração da tarefa</w:t>
      </w:r>
    </w:p>
    <w:p>
      <w:pPr>
        <w:pStyle w:val="FirstParagraph"/>
      </w:pPr>
      <w:r>
        <w:t xml:space="preserve">Uma função só recebe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quando o movimento existe na forma</w:t>
      </w:r>
      <w:r>
        <w:t xml:space="preserve"> </w:t>
      </w:r>
      <w:r>
        <w:rPr>
          <w:b/>
          <w:bCs/>
        </w:rPr>
        <w:t xml:space="preserve">e</w:t>
      </w:r>
      <w:r>
        <w:t xml:space="preserve"> </w:t>
      </w:r>
      <w:r>
        <w:t xml:space="preserve">é compatível com a finalidade que</w:t>
      </w:r>
      <w:r>
        <w:t xml:space="preserve"> </w:t>
      </w:r>
      <w:r>
        <w:t xml:space="preserve">o define. Se a devolutiva elogia como qualidade aquilo que é um problema do texto, se inventa um</w:t>
      </w:r>
      <w:r>
        <w:t xml:space="preserve"> </w:t>
      </w:r>
      <w:r>
        <w:t xml:space="preserve">elemento que não existe, se dá uma orientação linguisticamente errada ou se propõe uma mudança que</w:t>
      </w:r>
      <w:r>
        <w:t xml:space="preserve"> </w:t>
      </w:r>
      <w:r>
        <w:t xml:space="preserve">piora a produção, aquilo é falso positivo e vai a</w:t>
      </w:r>
      <w:r>
        <w:t xml:space="preserve"> </w:t>
      </w:r>
      <w:r>
        <w:rPr>
          <w:rStyle w:val="VerbatimChar"/>
        </w:rPr>
        <w:t xml:space="preserve">0</w:t>
      </w:r>
      <w:r>
        <w:t xml:space="preserve">, mesmo parecendo, na superfície, o movimento</w:t>
      </w:r>
      <w:r>
        <w:t xml:space="preserve"> </w:t>
      </w:r>
      <w:r>
        <w:t xml:space="preserve">certo.</w:t>
      </w:r>
    </w:p>
    <w:p>
      <w:pPr>
        <w:pStyle w:val="BodyText"/>
      </w:pPr>
      <w:r>
        <w:t xml:space="preserve">Isso não é avaliar a qualidade da devolutiva. Não se pergunta se o movimento foi bem feito ou se</w:t>
      </w:r>
      <w:r>
        <w:t xml:space="preserve"> </w:t>
      </w:r>
      <w:r>
        <w:t xml:space="preserve">seria a melhor escolha pedagógica. Pergunta-se apenas se o que está sendo contado como ocorrência</w:t>
      </w:r>
      <w:r>
        <w:t xml:space="preserve"> </w:t>
      </w:r>
      <w:r>
        <w:t xml:space="preserve">da função é uma realização válida dela.</w:t>
      </w:r>
    </w:p>
    <w:bookmarkEnd w:id="14"/>
    <w:bookmarkStart w:id="15" w:name="quando-observações-é-obrigatória"/>
    <w:p>
      <w:pPr>
        <w:pStyle w:val="Heading2"/>
      </w:pPr>
      <w:r>
        <w:t xml:space="preserve">Quando</w:t>
      </w:r>
      <w:r>
        <w:t xml:space="preserve"> </w:t>
      </w:r>
      <w:r>
        <w:rPr>
          <w:rStyle w:val="VerbatimChar"/>
        </w:rPr>
        <w:t xml:space="preserve">Observações</w:t>
      </w:r>
      <w:r>
        <w:t xml:space="preserve"> </w:t>
      </w:r>
      <w:r>
        <w:t xml:space="preserve">é obrigatória</w:t>
      </w:r>
    </w:p>
    <w:p>
      <w:pPr>
        <w:pStyle w:val="Compact"/>
        <w:numPr>
          <w:ilvl w:val="0"/>
          <w:numId w:val="1002"/>
        </w:numPr>
      </w:pPr>
      <w:r>
        <w:t xml:space="preserve">Quando você marcar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rPr>
          <w:b/>
          <w:bCs/>
        </w:rPr>
        <w:t xml:space="preserve">por aplicação da regra de validade mínima</w:t>
      </w:r>
      <w:r>
        <w:t xml:space="preserve">, e não por ausência do movimento. Escreva o segmento e por que ele não vale.</w:t>
      </w:r>
    </w:p>
    <w:p>
      <w:pPr>
        <w:pStyle w:val="Compact"/>
        <w:numPr>
          <w:ilvl w:val="0"/>
          <w:numId w:val="1002"/>
        </w:numPr>
      </w:pPr>
      <w:r>
        <w:t xml:space="preserve">Quando a mesma função tiver, na mesma devolutiva, um segmento válido e outro falso. Aí a função recebe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(basta uma ocorrência válida) e você identifica os dois segmentos, para que o binário não apague o falso positivo.</w:t>
      </w:r>
    </w:p>
    <w:p>
      <w:pPr>
        <w:pStyle w:val="FirstParagraph"/>
      </w:pPr>
      <w:r>
        <w:t xml:space="preserve">Uma linha em cada caso já basta. O anexo de calibração traz o formato nos exemplos 9 a 13.</w:t>
      </w:r>
    </w:p>
    <w:p>
      <w:pPr>
        <w:pStyle w:val="BodyText"/>
      </w:pPr>
      <w:r>
        <w:t xml:space="preserve">Fora esses dois casos,</w:t>
      </w:r>
      <w:r>
        <w:t xml:space="preserve"> </w:t>
      </w:r>
      <w:r>
        <w:rPr>
          <w:rStyle w:val="VerbatimChar"/>
        </w:rPr>
        <w:t xml:space="preserve">Observações</w:t>
      </w:r>
      <w:r>
        <w:t xml:space="preserve"> </w:t>
      </w:r>
      <w:r>
        <w:t xml:space="preserve">é opcional e bem-vinda em qualquer caso-limite.</w:t>
      </w:r>
    </w:p>
    <w:bookmarkEnd w:id="15"/>
    <w:bookmarkStart w:id="16" w:name="o-que-a-tarefa-não-é"/>
    <w:p>
      <w:pPr>
        <w:pStyle w:val="Heading2"/>
      </w:pPr>
      <w:r>
        <w:t xml:space="preserve">O que a tarefa não é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Não é dar nota</w:t>
      </w:r>
      <w:r>
        <w:t xml:space="preserve"> </w:t>
      </w:r>
      <w:r>
        <w:t xml:space="preserve">à devolutiva nem avaliar o professor ou o sistema que a escreveu.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Não é comparar</w:t>
      </w:r>
      <w:r>
        <w:t xml:space="preserve"> </w:t>
      </w:r>
      <w:r>
        <w:t xml:space="preserve">as devolutivas entre si, nem com um padrão-ouro. Não existe gabarito.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Não é procurar defeito.</w:t>
      </w:r>
      <w:r>
        <w:t xml:space="preserve"> </w:t>
      </w:r>
      <w:r>
        <w:t xml:space="preserve">Várias destas devolutivas vão parecer pobres, e outras vão parecer boas. Isso não muda a tarefa: registrar o que está lá, com a validade mínima, e não o que falta.</w:t>
      </w:r>
    </w:p>
    <w:bookmarkEnd w:id="16"/>
    <w:bookmarkStart w:id="17" w:name="independência-o-que-eu-preciso-pedir"/>
    <w:p>
      <w:pPr>
        <w:pStyle w:val="Heading2"/>
      </w:pPr>
      <w:r>
        <w:t xml:space="preserve">Independência: o que eu preciso pedir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Não converse com o outro codificador</w:t>
      </w:r>
      <w:r>
        <w:t xml:space="preserve"> </w:t>
      </w:r>
      <w:r>
        <w:t xml:space="preserve">sobre a tarefa enquanto ela durar. Nem casos-limite, nem impressões gerais, nem</w:t>
      </w:r>
      <w:r>
        <w:t xml:space="preserve"> </w:t>
      </w:r>
      <w:r>
        <w:t xml:space="preserve">“quantas você já fez”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Não procure o artigo, o repositório do estudo nem material anterior</w:t>
      </w:r>
      <w:r>
        <w:t xml:space="preserve"> </w:t>
      </w:r>
      <w:r>
        <w:t xml:space="preserve">sobre estas devolutivas. Se você já conhece esse material por outra via, me avise antes de começar.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Dúvidas vêm para mim</w:t>
      </w:r>
      <w:r>
        <w:t xml:space="preserve">, e eu respondo apenas com o que já está escrito no protocolo. Toda pergunta fica registrada e vira parte do relato metodológico.</w:t>
      </w:r>
    </w:p>
    <w:p>
      <w:pPr>
        <w:pStyle w:val="Compact"/>
        <w:numPr>
          <w:ilvl w:val="0"/>
          <w:numId w:val="1004"/>
        </w:numPr>
      </w:pPr>
      <w:r>
        <w:t xml:space="preserve">Se durante a tarefa você concluir que uma definição está frouxa,</w:t>
      </w:r>
      <w:r>
        <w:t xml:space="preserve"> </w:t>
      </w:r>
      <w:r>
        <w:rPr>
          <w:b/>
          <w:bCs/>
        </w:rPr>
        <w:t xml:space="preserve">anote em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Observações</w:t>
      </w:r>
      <w:r>
        <w:rPr>
          <w:b/>
          <w:bCs/>
        </w:rPr>
        <w:t xml:space="preserve"> </w:t>
      </w:r>
      <w:r>
        <w:rPr>
          <w:b/>
          <w:bCs/>
        </w:rPr>
        <w:t xml:space="preserve">e siga com a definição como está</w:t>
      </w:r>
      <w:r>
        <w:t xml:space="preserve">. Um desacordo registrado vale mais para o estudo do que uma concordância obtida por conversa.</w:t>
      </w:r>
    </w:p>
    <w:bookmarkEnd w:id="17"/>
    <w:bookmarkStart w:id="18" w:name="X9122dc85be3ee315e1c664f1e35a48c8c9d063c"/>
    <w:p>
      <w:pPr>
        <w:pStyle w:val="Heading2"/>
      </w:pPr>
      <w:r>
        <w:t xml:space="preserve">Uma coisa que vale saber, sem deixar influenciar</w:t>
      </w:r>
    </w:p>
    <w:p>
      <w:pPr>
        <w:pStyle w:val="FirstParagraph"/>
      </w:pPr>
      <w:r>
        <w:t xml:space="preserve">As 39 devolutivas vêm todas da mesma fonte, então não há procedência a esconder. O formato em que</w:t>
      </w:r>
      <w:r>
        <w:t xml:space="preserve"> </w:t>
      </w:r>
      <w:r>
        <w:t xml:space="preserve">elas foram produzidas força um elogio de abertura e abre espaço para perguntas ao final. Codifique</w:t>
      </w:r>
      <w:r>
        <w:t xml:space="preserve"> </w:t>
      </w:r>
      <w:r>
        <w:t xml:space="preserve">pela regra de evidência mínima como sempre; interpretar esse efeito de formato é problema meu na</w:t>
      </w:r>
      <w:r>
        <w:t xml:space="preserve"> </w:t>
      </w:r>
      <w:r>
        <w:t xml:space="preserve">hora de escrever o artigo.</w:t>
      </w:r>
    </w:p>
    <w:bookmarkEnd w:id="18"/>
    <w:bookmarkStart w:id="19" w:name="devolução"/>
    <w:p>
      <w:pPr>
        <w:pStyle w:val="Heading2"/>
      </w:pPr>
      <w:r>
        <w:t xml:space="preserve">Devolução</w:t>
      </w:r>
    </w:p>
    <w:p>
      <w:pPr>
        <w:pStyle w:val="FirstParagraph"/>
      </w:pPr>
      <w:r>
        <w:t xml:space="preserve">Quando terminar as duas varreduras, me avise por e-mail. Não é preciso exportar nada: eu leio a</w:t>
      </w:r>
      <w:r>
        <w:t xml:space="preserve"> </w:t>
      </w:r>
      <w:r>
        <w:t xml:space="preserve">planilha direto. Depois disso eu calculo a concordância e mando de volta os resultados, com as</w:t>
      </w:r>
      <w:r>
        <w:t xml:space="preserve"> </w:t>
      </w:r>
      <w:r>
        <w:t xml:space="preserve">bandas de referência, antes de escrever a seção.</w:t>
      </w:r>
    </w:p>
    <w:p>
      <w:pPr>
        <w:pStyle w:val="BodyText"/>
      </w:pPr>
      <w:r>
        <w:t xml:space="preserve">Se o prazo apertar, me diga cedo. É melhor remarcar do que codificar com pressa.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2026-08-22T15:06:32Z</dcterms:created>
  <dcterms:modified xsi:type="dcterms:W3CDTF">2026-08-22T15:06:32Z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