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1F4E79"/>
          <w:sz w:val="28"/>
          <w:szCs w:val="28"/>
        </w:rPr>
        <w:t xml:space="preserve">Avaliação Diagnóstica de Modelos de Linguagem de Pequeno Porte para Tutoria Socrática Offline em Língua Portuguesa: um Estudo de Aderência Estrutural e Pedagógica sob Restrições de Infraestrutura Escolar Pública</w:t>
      </w:r>
    </w:p>
    <w:p>
      <w:pPr>
        <w:spacing w:after="40" w:before="40"/>
        <w:jc w:val="center"/>
      </w:pPr>
      <w:r>
        <w:rPr>
          <w:rFonts w:ascii="Arial" w:cs="Arial" w:eastAsia="Arial" w:hAnsi="Arial"/>
          <w:color w:val="444444"/>
          <w:sz w:val="22"/>
          <w:szCs w:val="22"/>
        </w:rPr>
        <w:t xml:space="preserve">A Diagnostic Evaluation of Small Language Models for Offline Socratic Tutoring in Brazilian Portuguese: A Study on Structural and Pedagogical Adherence under Public-School Infrastructure Constraints</w:t>
      </w:r>
    </w:p>
    <w:p>
      <w:pPr>
        <w:spacing w:after="20" w:before="120"/>
        <w:jc w:val="center"/>
      </w:pPr>
      <w:r>
        <w:rPr>
          <w:rFonts w:ascii="Arial" w:cs="Arial" w:eastAsia="Arial" w:hAnsi="Arial"/>
          <w:b/>
          <w:bCs/>
          <w:sz w:val="22"/>
          <w:szCs w:val="22"/>
        </w:rPr>
        <w:t xml:space="preserve">Randerson Melville Rebouças</w:t>
      </w:r>
    </w:p>
    <w:p>
      <w:pPr>
        <w:spacing w:after="20" w:before="0"/>
        <w:jc w:val="center"/>
      </w:pPr>
      <w:r>
        <w:rPr>
          <w:rFonts w:ascii="Arial" w:cs="Arial" w:eastAsia="Arial" w:hAnsi="Arial"/>
          <w:sz w:val="20"/>
          <w:szCs w:val="20"/>
        </w:rPr>
        <w:t xml:space="preserve">Programa de Pós-Graduação em Informática na Educação</w:t>
      </w:r>
    </w:p>
    <w:p>
      <w:pPr>
        <w:spacing w:after="20" w:before="0"/>
        <w:jc w:val="center"/>
      </w:pPr>
      <w:r>
        <w:rPr>
          <w:rFonts w:ascii="Arial" w:cs="Arial" w:eastAsia="Arial" w:hAnsi="Arial"/>
          <w:sz w:val="20"/>
          <w:szCs w:val="20"/>
        </w:rPr>
        <w:t xml:space="preserve">Universidade Federal do Rio Grande do Sul (UFRGS), Porto Alegre, RS, Brasil</w:t>
      </w:r>
    </w:p>
    <w:p>
      <w:pPr>
        <w:spacing w:after="80" w:before="0"/>
        <w:jc w:val="center"/>
      </w:pPr>
      <w:r>
        <w:rPr>
          <w:rFonts w:ascii="Arial" w:cs="Arial" w:eastAsia="Arial" w:hAnsi="Arial"/>
          <w:color w:val="555555"/>
          <w:sz w:val="20"/>
          <w:szCs w:val="20"/>
        </w:rPr>
        <w:t xml:space="preserve">randerson.melville@gmail.com</w:t>
      </w:r>
    </w:p>
    <w:p>
      <w:pPr>
        <w:spacing w:after="20" w:before="60"/>
        <w:jc w:val="center"/>
      </w:pPr>
      <w:r>
        <w:rPr>
          <w:rFonts w:ascii="Arial" w:cs="Arial" w:eastAsia="Arial" w:hAnsi="Arial"/>
          <w:b/>
          <w:bCs/>
          <w:sz w:val="22"/>
          <w:szCs w:val="22"/>
        </w:rPr>
        <w:t xml:space="preserve">Marcelo Magalhães Foohs</w:t>
      </w:r>
    </w:p>
    <w:p>
      <w:pPr>
        <w:spacing w:after="20" w:before="0"/>
        <w:jc w:val="center"/>
      </w:pPr>
      <w:r>
        <w:rPr>
          <w:rFonts w:ascii="Arial" w:cs="Arial" w:eastAsia="Arial" w:hAnsi="Arial"/>
          <w:sz w:val="20"/>
          <w:szCs w:val="20"/>
        </w:rPr>
        <w:t xml:space="preserve">Programa de Pós-Graduação em Informática na Educação</w:t>
      </w:r>
    </w:p>
    <w:p>
      <w:pPr>
        <w:spacing w:after="20" w:before="0"/>
        <w:jc w:val="center"/>
      </w:pPr>
      <w:r>
        <w:rPr>
          <w:rFonts w:ascii="Arial" w:cs="Arial" w:eastAsia="Arial" w:hAnsi="Arial"/>
          <w:sz w:val="20"/>
          <w:szCs w:val="20"/>
        </w:rPr>
        <w:t xml:space="preserve">Universidade Federal do Rio Grande do Sul (UFRGS), Porto Alegre, RS, Brasil</w:t>
      </w:r>
    </w:p>
    <w:p>
      <w:pPr>
        <w:spacing w:after="160" w:before="0"/>
        <w:jc w:val="center"/>
      </w:pPr>
      <w:r>
        <w:rPr>
          <w:rFonts w:ascii="Arial" w:cs="Arial" w:eastAsia="Arial" w:hAnsi="Arial"/>
          <w:color w:val="555555"/>
          <w:sz w:val="20"/>
          <w:szCs w:val="20"/>
        </w:rPr>
        <w:t xml:space="preserve">mmfoohs@gmail.com</w:t>
      </w:r>
    </w:p>
    <w:p>
      <w:pPr>
        <w:pBdr>
          <w:bottom w:val="single" w:color="1F4E79" w:sz="6" w:space="1"/>
        </w:pBdr>
        <w:spacing w:after="160" w:before="160"/>
      </w:pPr>
    </w:p>
    <w:p>
      <w:pPr>
        <w:pStyle w:val="Heading1"/>
        <w:spacing w:after="120" w:before="320"/>
      </w:pPr>
      <w:r>
        <w:rPr>
          <w:rFonts w:ascii="Arial" w:cs="Arial" w:eastAsia="Arial" w:hAnsi="Arial"/>
          <w:b/>
          <w:bCs/>
          <w:color w:val="1F4E79"/>
          <w:sz w:val="28"/>
          <w:szCs w:val="28"/>
        </w:rPr>
        <w:t xml:space="preserve">Resumo</w:t>
      </w:r>
    </w:p>
    <w:p>
      <w:pPr>
        <w:spacing w:after="80" w:before="80" w:line="276"/>
        <w:ind w:firstLine="720"/>
        <w:jc w:val="both"/>
      </w:pPr>
      <w:r>
        <w:rPr>
          <w:rFonts w:ascii="Arial" w:cs="Arial" w:eastAsia="Arial" w:hAnsi="Arial"/>
          <w:sz w:val="22"/>
          <w:szCs w:val="22"/>
        </w:rPr>
        <w:t xml:space="preserve">A adoção de Inteligência Artificial generativa em contextos educacionais tem sido majoritariamente ancorada em modelos proprietários dependentes de conectividade de banda larga, pressuposto incompatível com a realidade material da maior parte da rede pública de ensino brasileira. Este trabalho conduz avaliação diagnóstica controlada de oito Modelos de Linguagem de Pequeno Porte (Small Language Models, SLMs) abertos, executados estritamente em ambiente local e offline, contra uma rubrica metalinguística derivada da Linguística Textual de Ingedore Koch. Foram realizadas 312 chamadas de inferência primárias (8 modelos × 13 cenários canônicos × 3 repetições) sem aplicação de mecanismos de coerção gramatical externa, e 80 chamadas adicionais em quatro isolamentos de falsificação. Os resultados evidenciam dois regimes distintos de falha: (i) não-aderência estrutural em regime zero-shot, manifestada por 100% de divergência tipológica nas famílias Llama 3.2 (1B e 3B) e Phi-3 Mini, caracterizada, no caso da família Llama 3.2, como viés de formatação determinístico herdado do ajuste de instrução para uso comercial generalista e integralmente reversível por demonstração mínima em contexto (one-shot), o que a distingue de incapacidade composicional do modelo; e (ii) superficialidade pedagógica, observada no Qwen 2.5 3B-Instruct, único modelo estruturalmente conforme da faixa deployável em regime zero-shot, cujas respostas mobilizam terminologia da rubrica de Koch em apenas 46% dos cenários (IC 95%: 23,2%-70,9%). Conclui-se que os modelos generalistas de prateleira contemporâneos são insuficientes para tutoria socrática fundamentada em rubrica fina em Língua Portuguesa sob regime zero-shot, justificando o desenvolvimento de modelos especializados por ajuste fino supervisionado em corpora pedagógicos curados.</w:t>
      </w:r>
    </w:p>
    <w:p>
      <w:pPr>
        <w:spacing w:after="80" w:before="80" w:line="276"/>
        <w:ind w:firstLine="720"/>
        <w:jc w:val="both"/>
      </w:pPr>
      <w:r>
        <w:rPr>
          <w:rFonts w:ascii="Arial" w:cs="Arial" w:eastAsia="Arial" w:hAnsi="Arial"/>
          <w:b/>
          <w:bCs/>
          <w:sz w:val="22"/>
          <w:szCs w:val="22"/>
        </w:rPr>
        <w:t xml:space="preserve">Palavras-chave: </w:t>
      </w:r>
      <w:r>
        <w:rPr>
          <w:rFonts w:ascii="Arial" w:cs="Arial" w:eastAsia="Arial" w:hAnsi="Arial"/>
          <w:b w:val="false"/>
          <w:bCs w:val="false"/>
          <w:sz w:val="22"/>
          <w:szCs w:val="22"/>
        </w:rPr>
        <w:t xml:space="preserve">Modelos de Linguagem; Educação Básica; Língua Portuguesa; Inferência Local; Linguística Textual; Avaliação Diagnóstica.</w:t>
      </w:r>
    </w:p>
    <w:p>
      <w:pPr>
        <w:pBdr>
          <w:bottom w:val="single" w:color="1F4E79" w:sz="6" w:space="1"/>
        </w:pBdr>
        <w:spacing w:after="160" w:before="160"/>
      </w:pPr>
    </w:p>
    <w:p>
      <w:pPr>
        <w:pStyle w:val="Heading1"/>
        <w:spacing w:after="120" w:before="320"/>
      </w:pPr>
      <w:r>
        <w:rPr>
          <w:rFonts w:ascii="Arial" w:cs="Arial" w:eastAsia="Arial" w:hAnsi="Arial"/>
          <w:b/>
          <w:bCs/>
          <w:color w:val="1F4E79"/>
          <w:sz w:val="28"/>
          <w:szCs w:val="28"/>
        </w:rPr>
        <w:t xml:space="preserve">Abstract</w:t>
      </w:r>
    </w:p>
    <w:p>
      <w:pPr>
        <w:spacing w:after="80" w:before="80" w:line="276"/>
        <w:ind w:firstLine="720"/>
        <w:jc w:val="both"/>
      </w:pPr>
      <w:r>
        <w:rPr>
          <w:rFonts w:ascii="Arial" w:cs="Arial" w:eastAsia="Arial" w:hAnsi="Arial"/>
          <w:sz w:val="22"/>
          <w:szCs w:val="22"/>
        </w:rPr>
        <w:t xml:space="preserve">The adoption of generative Artificial Intelligence in educational contexts has been predominantly anchored in proprietary models dependent on broadband connectivity, an assumption incompatible with the material reality of most Brazilian public schools. This work conducts a controlled diagnostic evaluation of eight open Small Language Models (SLMs), executed strictly in a local, offline environment, against a metalinguistic rubric derived from Ingedore Koch's Textual Linguistics. A total of 312 inference calls were performed (8 models × 13 canonical scenarios × 3 repetitions), without applying any external grammatical coercion mechanism. Results reveal two distinct failure regimes: (i) structural non-adherence, manifested as 100% typological divergence in the Llama 3.2 family (1B and 3B) and Phi-3 Mini, attributable to formatting bias inherited from instruction tuning for generalist commercial use; and (ii) pedagogical superficiality, observed in Qwen 2.5 3B-Instruct, the only structurally conformant model in the deployable range, whose responses mobilize Koch's rubric terminology in only 46% of scenarios (95% CI: 23.2%-70.9%). We conclude that contemporary off-the-shelf generalist models are insufficient for fine-grained Socratic tutoring in Brazilian Portuguese, justifying the development of specialized models through supervised fine-tuning on curated pedagogical corpora.</w:t>
      </w:r>
    </w:p>
    <w:p>
      <w:pPr>
        <w:spacing w:after="80" w:before="80" w:line="276"/>
        <w:ind w:firstLine="720"/>
        <w:jc w:val="both"/>
      </w:pPr>
      <w:r>
        <w:rPr>
          <w:rFonts w:ascii="Arial" w:cs="Arial" w:eastAsia="Arial" w:hAnsi="Arial"/>
          <w:b/>
          <w:bCs/>
          <w:sz w:val="22"/>
          <w:szCs w:val="22"/>
        </w:rPr>
        <w:t xml:space="preserve">Keywords: </w:t>
      </w:r>
      <w:r>
        <w:rPr>
          <w:rFonts w:ascii="Arial" w:cs="Arial" w:eastAsia="Arial" w:hAnsi="Arial"/>
          <w:b w:val="false"/>
          <w:bCs w:val="false"/>
          <w:sz w:val="22"/>
          <w:szCs w:val="22"/>
        </w:rPr>
        <w:t xml:space="preserve">Language Models; Basic Education; Brazilian Portuguese; Local Inference; Textual Linguistics; Diagnostic Evaluation.</w:t>
      </w:r>
    </w:p>
    <w:p>
      <w:pPr>
        <w:pBdr>
          <w:bottom w:val="single" w:color="1F4E79" w:sz="6" w:space="1"/>
        </w:pBdr>
        <w:spacing w:after="160" w:before="160"/>
      </w:pPr>
    </w:p>
    <w:p>
      <w:pPr>
        <w:pStyle w:val="Heading1"/>
        <w:spacing w:after="120" w:before="320"/>
      </w:pPr>
      <w:r>
        <w:rPr>
          <w:rFonts w:ascii="Arial" w:cs="Arial" w:eastAsia="Arial" w:hAnsi="Arial"/>
          <w:b/>
          <w:bCs/>
          <w:color w:val="1F4E79"/>
          <w:sz w:val="28"/>
          <w:szCs w:val="28"/>
        </w:rPr>
        <w:t xml:space="preserve">1. Introdução</w:t>
      </w:r>
    </w:p>
    <w:p>
      <w:pPr>
        <w:spacing w:after="80" w:before="80" w:line="276"/>
        <w:ind w:firstLine="720"/>
        <w:jc w:val="both"/>
      </w:pPr>
      <w:r>
        <w:rPr>
          <w:rFonts w:ascii="Arial" w:cs="Arial" w:eastAsia="Arial" w:hAnsi="Arial"/>
          <w:sz w:val="22"/>
          <w:szCs w:val="22"/>
        </w:rPr>
        <w:t xml:space="preserve">A incorporação de Modelos de Linguagem de Grande Porte (Large Language Models, LLMs) a contextos educacionais constituiu, nos últimos três anos, uma das frentes de pesquisa de crescimento mais acelerado em Informática na Educação. A literatura especializada documenta resultados promissores no uso de modelos proprietários como GPT-4, Claude e Gemini para tutoria conversacional, avaliação automatizada de redação e geração de feedback formativo (Kasneci et al., 2023; Tlili et al., 2023). Tal produção, contudo, tem sido majoritariamente ancorada em pressupostos de infraestrutura como acesso estável à banda larga, ausência de restrição orçamentária para chamadas de API e estabilidade contratual de fornecedores estrangeiros, pressupostos que não correspondem à realidade material da maior parte da rede pública de ensino brasileira.</w:t>
      </w:r>
    </w:p>
    <w:p>
      <w:pPr>
        <w:spacing w:after="80" w:before="80" w:line="276"/>
        <w:ind w:firstLine="720"/>
        <w:jc w:val="both"/>
      </w:pPr>
      <w:r>
        <w:rPr>
          <w:rFonts w:ascii="Arial" w:cs="Arial" w:eastAsia="Arial" w:hAnsi="Arial"/>
          <w:sz w:val="22"/>
          <w:szCs w:val="22"/>
        </w:rPr>
        <w:t xml:space="preserve">A série histórica TIC Educação, conduzida pelo Centro Regional de Estudos para o Desenvolvimento da Sociedade da Informação (CGI.br/NIC.br/Cetic.br, 2024), evidencia a persistência de profundas desigualdades de conectividade entre escolas públicas urbanas e rurais, com proporção significativa de unidades operando sem acesso à Internet adequada para usos pedagógicos síncronos. A esse limite estrutural soma-se a problemática da soberania de dados estudantis: o envio rotineiro de produções textuais de alunos menores de idade a servidores comerciais situados em jurisdições estrangeiras configura zona cinzenta perante a Lei Geral de Proteção de Dados Pessoais (Brasil, 2018), particularmente em sua interface com o regime jurídico de proteção da criança e do adolescente.</w:t>
      </w:r>
    </w:p>
    <w:p>
      <w:pPr>
        <w:spacing w:after="80" w:before="80" w:line="276"/>
        <w:ind w:firstLine="720"/>
        <w:jc w:val="both"/>
      </w:pPr>
      <w:r>
        <w:rPr>
          <w:rFonts w:ascii="Arial" w:cs="Arial" w:eastAsia="Arial" w:hAnsi="Arial"/>
          <w:sz w:val="22"/>
          <w:szCs w:val="22"/>
        </w:rPr>
        <w:t xml:space="preserve">Esse duplo cerco de precariedade material de conectividade e fragilidade jurídico-ética do tráfego de dados sensíveis impõe que a adoção de IA generativa na escola pública brasileira contemple, como requisito não-funcional incontornável, a execução estritamente local e offline dos modelos de inferência. A janela técnica para tal abordagem foi aberta pela recente proliferação de Modelos de Linguagem de Pequeno Porte (Small Language Models, SLMs) na faixa de 1 a 4 bilhões de parâmetros, viabilizados por quantização agressiva (Q4, Q5) e por runtimes leves capazes de executar inferência sobre CPU em máquinas modestas, sem dependência de aceleração gráfica dedicada (Abdin et al., 2024; Yang et al., 2024).</w:t>
      </w:r>
    </w:p>
    <w:p>
      <w:pPr>
        <w:spacing w:after="80" w:before="80" w:line="276"/>
        <w:ind w:firstLine="720"/>
        <w:jc w:val="both"/>
      </w:pPr>
      <w:r>
        <w:rPr>
          <w:rFonts w:ascii="Arial" w:cs="Arial" w:eastAsia="Arial" w:hAnsi="Arial"/>
          <w:sz w:val="22"/>
          <w:szCs w:val="22"/>
        </w:rPr>
        <w:t xml:space="preserve">A literatura recente sobre SLMs concentra-se majoritariamente em benchmarks de natureza geral, em língua inglesa, e dirigidos a tarefas de raciocínio matemático ou geração de código. Permanece em aberto, no entanto, a questão de se modelos abertos de prateleira, executados localmente em condições simuladas de infraestrutura escolar pública, são nativamente capazes de operar como tutores socráticos de redação em Língua Portuguesa, respeitando contratos de saída estruturada e princípios pedagógicos não-prescritivistas. O presente estudo aborda essa lacuna por meio de avaliação diagnóstica controlada de oito SLMs de prateleira contra uma rubrica derivada da Linguística Textual de Ingedore Koch (Koch, 2018; Koch, 2020), sob ambiente de inferência rigorosamente local e sem qualquer mecanismo de coerção gramatical externa.</w:t>
      </w:r>
    </w:p>
    <w:p>
      <w:pPr>
        <w:spacing w:after="80" w:before="80" w:line="276"/>
        <w:ind w:firstLine="720"/>
        <w:jc w:val="both"/>
      </w:pPr>
      <w:r>
        <w:rPr>
          <w:rFonts w:ascii="Arial" w:cs="Arial" w:eastAsia="Arial" w:hAnsi="Arial"/>
          <w:sz w:val="22"/>
          <w:szCs w:val="22"/>
        </w:rPr>
        <w:t xml:space="preserve">A questão central de pesquisa que orienta este trabalho é: qual o grau de aderência nativa de SLMs abertos contemporâneos a um contrato pedagógico-estrutural especificado em linguagem natural, e quais padrões de falha se manifestam em escala estatisticamente publicável? O artigo está organizado da seguinte forma: a Seção 2 revisa o estado da arte relevante; a Seção 3 detalha a metodologia experimental adotada; as Seções 4 e 5 apresentam os resultados de eficiência e conformidade estrutural; a Seção 6 conduz análise qualitativa da aderência pedagógica; e a Seção 7 sintetiza as conclusões.</w:t>
      </w:r>
    </w:p>
    <w:p>
      <w:pPr>
        <w:pStyle w:val="Heading1"/>
        <w:spacing w:after="120" w:before="320"/>
      </w:pPr>
      <w:r>
        <w:rPr>
          <w:rFonts w:ascii="Arial" w:cs="Arial" w:eastAsia="Arial" w:hAnsi="Arial"/>
          <w:b/>
          <w:bCs/>
          <w:color w:val="1F4E79"/>
          <w:sz w:val="28"/>
          <w:szCs w:val="28"/>
        </w:rPr>
        <w:t xml:space="preserve">2. Trabalhos Relacionados</w:t>
      </w:r>
    </w:p>
    <w:p>
      <w:pPr>
        <w:spacing w:after="80" w:before="80" w:line="276"/>
        <w:ind w:firstLine="720"/>
        <w:jc w:val="both"/>
      </w:pPr>
      <w:r>
        <w:rPr>
          <w:rFonts w:ascii="Arial" w:cs="Arial" w:eastAsia="Arial" w:hAnsi="Arial"/>
          <w:sz w:val="22"/>
          <w:szCs w:val="22"/>
        </w:rPr>
        <w:t xml:space="preserve">A avaliação sistemática de modelos de linguagem para tarefas educacionais articula-se em três frentes de pesquisa relevantes ao presente estudo. A primeira frente compreende estudos de uso de LLMs proprietários como tutores e avaliadores formativos. Kasneci et al. (2023) sintetizam oportunidades e desafios do ChatGPT na educação básica, identificando potencial significativo, mas alertando para vieses sistêmicos e dependência infraestrutural. Tlili et al. (2023) conduzem estudo de caso longitudinal sobre o uso pedagógico de chatbots, destacando tensões entre engajamento estudantil e fidelidade conceitual. Essa literatura, contudo, opera predominantemente sob pressuposto de conectividade contínua, lacuna que o presente trabalho aborda diretamente.</w:t>
      </w:r>
    </w:p>
    <w:p>
      <w:pPr>
        <w:spacing w:after="80" w:before="80" w:line="276"/>
        <w:ind w:firstLine="720"/>
        <w:jc w:val="both"/>
      </w:pPr>
      <w:r>
        <w:rPr>
          <w:rFonts w:ascii="Arial" w:cs="Arial" w:eastAsia="Arial" w:hAnsi="Arial"/>
          <w:sz w:val="22"/>
          <w:szCs w:val="22"/>
        </w:rPr>
        <w:t xml:space="preserve">A segunda frente corresponde à literatura técnica sobre SLMs viáveis para execução local. Abdin et al. (2024), na descrição do Phi-3, postulam a tese de modelos pequenos e capazes via curadoria intensiva de dados de treinamento; Yang et al. (2024) apresentam a família Qwen 2.5, com ênfase em multilinguismo; Grattafiori et al. (2024) e a equipe Gemma (Gemma Team, 2024) descrevem, respectivamente, as famílias Llama 3 e Gemma 2 em suas variantes leves. Essas referências configuram o universo de candidatos do presente benchmark, mas seus relatórios técnicos avaliam desempenho predominantemente em benchmarks anglocêntricos e tarefas matemáticas, sem cobertura específica de tutoria pedagógica em Português do Brasil.</w:t>
      </w:r>
    </w:p>
    <w:p>
      <w:pPr>
        <w:spacing w:after="80" w:before="80" w:line="276"/>
        <w:ind w:firstLine="720"/>
        <w:jc w:val="both"/>
      </w:pPr>
      <w:r>
        <w:rPr>
          <w:rFonts w:ascii="Arial" w:cs="Arial" w:eastAsia="Arial" w:hAnsi="Arial"/>
          <w:sz w:val="22"/>
          <w:szCs w:val="22"/>
        </w:rPr>
        <w:t xml:space="preserve">A terceira frente envolve a literatura emergente sobre vieses de formatação (format bias) em modelos pós-treinados por preferência. Zheng et al. (2023) e Wu e Aji (2023) demonstram que avaliadores humanos e modelos-juízes exibem preferência sistemática por respostas longas, listadas e bem formatadas, independentemente da qualidade do conteúdo, e que esse sinal de recompensa internaliza-se nos modelos finalizados como atrator dominante no espaço de geração. Esse corpo teórico é mobilizado na Seção 5 para interpretação dos achados arquiteturais deste estudo.</w:t>
      </w:r>
    </w:p>
    <w:p>
      <w:pPr>
        <w:spacing w:after="80" w:before="80" w:line="276"/>
        <w:ind w:firstLine="720"/>
        <w:jc w:val="both"/>
      </w:pPr>
      <w:r>
        <w:rPr>
          <w:rFonts w:ascii="Arial" w:cs="Arial" w:eastAsia="Arial" w:hAnsi="Arial"/>
          <w:sz w:val="22"/>
          <w:szCs w:val="22"/>
        </w:rPr>
        <w:t xml:space="preserve">A interseção entre essas três frentes de aplicação educacional, viabilidade local em Português do Brasil e padrões de falha pós-treinamento permanece, no melhor conhecimento desta investigação, sub-explorada. O presente artigo contribui para preencher essa lacuna mediante diagnóstico empírico controlado.</w:t>
      </w:r>
    </w:p>
    <w:p>
      <w:pPr>
        <w:pStyle w:val="Heading1"/>
        <w:spacing w:after="120" w:before="320"/>
      </w:pPr>
      <w:r>
        <w:rPr>
          <w:rFonts w:ascii="Arial" w:cs="Arial" w:eastAsia="Arial" w:hAnsi="Arial"/>
          <w:b/>
          <w:bCs/>
          <w:color w:val="1F4E79"/>
          <w:sz w:val="28"/>
          <w:szCs w:val="28"/>
        </w:rPr>
        <w:t xml:space="preserve">3. Metodologia</w:t>
      </w:r>
    </w:p>
    <w:p>
      <w:pPr>
        <w:spacing w:after="80" w:before="80" w:line="276"/>
        <w:ind w:firstLine="720"/>
        <w:jc w:val="both"/>
      </w:pPr>
      <w:r>
        <w:rPr>
          <w:rFonts w:ascii="Arial" w:cs="Arial" w:eastAsia="Arial" w:hAnsi="Arial"/>
          <w:sz w:val="22"/>
          <w:szCs w:val="22"/>
        </w:rPr>
        <w:t xml:space="preserve">Esta seção descreve, com nível de detalhamento dirigido à reprodutibilidade integral, o protocolo experimental adotado. As subseções documentam: (i) a pilha de inferência local offline; (ii) o corpus de cenários canônicos e a rubrica metalinguística; (iii) a matriz amostral e os hiperparâmetros; (iv) a arquitetura do validador determinístico; (v) os critérios de aderência pedagógica; (vi) exemplos canônicos do corpus; e (vii) as garantias de reprodutibilidade.</w:t>
      </w:r>
    </w:p>
    <w:p>
      <w:pPr>
        <w:pStyle w:val="Heading2"/>
        <w:spacing w:after="120" w:before="320"/>
      </w:pPr>
      <w:r>
        <w:rPr>
          <w:rFonts w:ascii="Arial" w:cs="Arial" w:eastAsia="Arial" w:hAnsi="Arial"/>
          <w:b/>
          <w:bCs/>
          <w:color w:val="1F4E79"/>
          <w:sz w:val="24"/>
          <w:szCs w:val="24"/>
        </w:rPr>
        <w:t xml:space="preserve">3.1 Ambiente Computacional e Pilha de Inferência Local Offline</w:t>
      </w:r>
    </w:p>
    <w:p>
      <w:pPr>
        <w:spacing w:after="80" w:before="80" w:line="276"/>
        <w:ind w:firstLine="720"/>
        <w:jc w:val="both"/>
      </w:pPr>
      <w:r>
        <w:rPr>
          <w:rFonts w:ascii="Arial" w:cs="Arial" w:eastAsia="Arial" w:hAnsi="Arial"/>
          <w:sz w:val="22"/>
          <w:szCs w:val="22"/>
        </w:rPr>
        <w:t xml:space="preserve">A totalidade das 312 chamadas de inferência foi conduzida em ambiente estritamente local e offline, sem qualquer comunicação com serviços remotos durante a fase de coleta. A escolha emula deliberadamente o teto computacional disponível em laboratórios de informática de escolas públicas brasileiras: execução sobre CPU, sem aceleração por GPU dedicada, e restrição de RAM compatível com o parque instalado típico de máquinas escolares (faixa de 8 GB). O orquestrador de inferência adotado foi o Ollama, servidor HTTP local executando na interface de loopback (localhost:11434), com modelos instanciados em quantização Q4_K_M. A camada cliente foi desenvolvida em Python 3.11 utilizando a biblioteca requests para transporte HTTP.</w:t>
      </w:r>
    </w:p>
    <w:p>
      <w:pPr>
        <w:pStyle w:val="Heading2"/>
        <w:spacing w:after="120" w:before="320"/>
      </w:pPr>
      <w:r>
        <w:rPr>
          <w:rFonts w:ascii="Arial" w:cs="Arial" w:eastAsia="Arial" w:hAnsi="Arial"/>
          <w:b/>
          <w:bCs/>
          <w:color w:val="1F4E79"/>
          <w:sz w:val="24"/>
          <w:szCs w:val="24"/>
        </w:rPr>
        <w:t xml:space="preserve">3.2 Instrumento de Avaliação: Corpus de Cenários e Rubrica Metalinguística</w:t>
      </w:r>
    </w:p>
    <w:p>
      <w:pPr>
        <w:spacing w:after="80" w:before="80" w:line="276"/>
        <w:ind w:firstLine="720"/>
        <w:jc w:val="both"/>
      </w:pPr>
      <w:r>
        <w:rPr>
          <w:rFonts w:ascii="Arial" w:cs="Arial" w:eastAsia="Arial" w:hAnsi="Arial"/>
          <w:sz w:val="22"/>
          <w:szCs w:val="22"/>
        </w:rPr>
        <w:t xml:space="preserve">A rubrica avaliativa foi derivada da taxonomia de coesão textual de Koch (2018, 2020), operacionalizada em treze cenários canônicos redigidos por especialista em Linguística Textual. Cada cenário consiste em texto curto de redação no gênero discursivo escolar (resenha, resumo, reconto, opinião, crônica), atribuído a aluno hipotético do Ensino Fundamental II (8.º e 9.º anos), e veicula deliberadamente um fenômeno coesivo-alvo. A taxonomia abrange dois eixos:</w:t>
      </w:r>
    </w:p>
    <w:p>
      <w:pPr>
        <w:pStyle w:val="ListParagraph"/>
        <w:numPr>
          <w:ilvl w:val="0"/>
          <w:numId w:val="2"/>
        </w:numPr>
        <w:spacing w:after="60" w:before="60" w:line="260"/>
      </w:pPr>
      <w:r>
        <w:rPr>
          <w:rFonts w:ascii="Arial" w:cs="Arial" w:eastAsia="Arial" w:hAnsi="Arial"/>
          <w:sz w:val="22"/>
          <w:szCs w:val="22"/>
        </w:rPr>
        <w:t xml:space="preserve">Coesão Referencial: ambiguidade por pronominalização inadequada; repetição lexical excessiva com supressão de elipse e de substituição por hiperônimo ou pró-forma.</w:t>
      </w:r>
    </w:p>
    <w:p>
      <w:pPr>
        <w:pStyle w:val="ListParagraph"/>
        <w:numPr>
          <w:ilvl w:val="0"/>
          <w:numId w:val="2"/>
        </w:numPr>
        <w:spacing w:after="60" w:before="60" w:line="260"/>
      </w:pPr>
      <w:r>
        <w:rPr>
          <w:rFonts w:ascii="Arial" w:cs="Arial" w:eastAsia="Arial" w:hAnsi="Arial"/>
          <w:sz w:val="22"/>
          <w:szCs w:val="22"/>
        </w:rPr>
        <w:t xml:space="preserve">Coesão Sequencial: emprego contraditório de operadores argumentativos; desorganização de marcadores temporais e espaciais; justaposição extrema de orações sem estabelecimento de relações lógico-semânticas.</w:t>
      </w:r>
    </w:p>
    <w:p>
      <w:pPr>
        <w:spacing w:after="80" w:before="80" w:line="276"/>
        <w:ind w:firstLine="720"/>
        <w:jc w:val="both"/>
      </w:pPr>
      <w:r>
        <w:rPr>
          <w:rFonts w:ascii="Arial" w:cs="Arial" w:eastAsia="Arial" w:hAnsi="Arial"/>
          <w:sz w:val="22"/>
          <w:szCs w:val="22"/>
        </w:rPr>
        <w:t xml:space="preserve">O system prompt canônico define: (i) o papel do modelo como tutor socrático para alunos do 8.º ao 9.º ano; (ii) cinco restrições pedagógicas inegociáveis; e (iii) o formato de saída como objeto JSON com exatamente duas chaves: pontos_fortes (string monolítica) e perguntas_reflexivas (array de string).</w:t>
      </w:r>
    </w:p>
    <w:p>
      <w:pPr>
        <w:pStyle w:val="Heading2"/>
        <w:spacing w:after="120" w:before="320"/>
      </w:pPr>
      <w:r>
        <w:rPr>
          <w:rFonts w:ascii="Arial" w:cs="Arial" w:eastAsia="Arial" w:hAnsi="Arial"/>
          <w:b/>
          <w:bCs/>
          <w:color w:val="1F4E79"/>
          <w:sz w:val="24"/>
          <w:szCs w:val="24"/>
        </w:rPr>
        <w:t xml:space="preserve">3.3 Protocolo Experimental: Matriz Amostral e Hiperparâmetros</w:t>
      </w:r>
    </w:p>
    <w:p>
      <w:pPr>
        <w:spacing w:after="80" w:before="80" w:line="276"/>
        <w:ind w:firstLine="720"/>
        <w:jc w:val="both"/>
      </w:pPr>
      <w:r>
        <w:rPr>
          <w:rFonts w:ascii="Arial" w:cs="Arial" w:eastAsia="Arial" w:hAnsi="Arial"/>
          <w:sz w:val="22"/>
          <w:szCs w:val="22"/>
        </w:rPr>
        <w:t xml:space="preserve">A matriz amostral compreendeu oito modelos em duas faixas: faixa deployável (qwen2.5:1.5b-instruct, qwen2.5:3b-instruct, llama3.2:1b, llama3.2:3b, gemma2:2b e phi3:mini) e teto de referência (llama3:8b e gemma2:9b). Cada par modelo × cenário foi submetido a três repetições independentes (n = 3), totalizando 312 chamadas. Os hiperparâmetros foram: temperature = 0.2 (regime quase-determinístico preservando microvariabilidade), stream = false (modo síncrono), format = 'json' (nudging probabilístico sem coerção de esquema) e timeout = 120 s.</w:t>
      </w:r>
    </w:p>
    <w:p>
      <w:pPr>
        <w:pStyle w:val="Heading2"/>
        <w:spacing w:after="120" w:before="320"/>
      </w:pPr>
      <w:r>
        <w:rPr>
          <w:rFonts w:ascii="Arial" w:cs="Arial" w:eastAsia="Arial" w:hAnsi="Arial"/>
          <w:b/>
          <w:bCs/>
          <w:color w:val="1F4E79"/>
          <w:sz w:val="24"/>
          <w:szCs w:val="24"/>
        </w:rPr>
        <w:t xml:space="preserve">3.4 Arquitetura de Validação Estrutural: o Algoritmo divergente()</w:t>
      </w:r>
    </w:p>
    <w:p>
      <w:pPr>
        <w:spacing w:after="80" w:before="80" w:line="276"/>
        <w:ind w:firstLine="720"/>
        <w:jc w:val="both"/>
      </w:pPr>
      <w:r>
        <w:rPr>
          <w:rFonts w:ascii="Arial" w:cs="Arial" w:eastAsia="Arial" w:hAnsi="Arial"/>
          <w:sz w:val="22"/>
          <w:szCs w:val="22"/>
        </w:rPr>
        <w:t xml:space="preserve">A classificação binária de conformidade de cada resposta foi realizada por função determinística, implementada em mine_benchmark.py, que avalia o conteúdo bruto retornado em message.content. As quatro condições disjuntas são reproduzidas a seguir:</w:t>
      </w:r>
    </w:p>
    <w:p>
      <w:pPr>
        <w:spacing w:after="0" w:before="0" w:line="240"/>
      </w:pPr>
      <w:r>
        <w:rPr>
          <w:rFonts w:ascii="Courier New" w:cs="Courier New" w:eastAsia="Courier New" w:hAnsi="Courier New"/>
          <w:color w:val="1F3864"/>
          <w:sz w:val="18"/>
          <w:szCs w:val="18"/>
        </w:rPr>
        <w:t xml:space="preserve">def divergente(resposta_bruta: str) -&gt; bool:</w:t>
      </w:r>
    </w:p>
    <w:p>
      <w:pPr>
        <w:spacing w:after="0" w:before="0" w:line="240"/>
      </w:pPr>
      <w:r>
        <w:rPr>
          <w:rFonts w:ascii="Courier New" w:cs="Courier New" w:eastAsia="Courier New" w:hAnsi="Courier New"/>
          <w:color w:val="1F3864"/>
          <w:sz w:val="18"/>
          <w:szCs w:val="18"/>
        </w:rPr>
        <w:t xml:space="preserve">    # C1: Sintaxe JSON</w:t>
      </w:r>
    </w:p>
    <w:p>
      <w:pPr>
        <w:spacing w:after="0" w:before="0" w:line="240"/>
      </w:pPr>
      <w:r>
        <w:rPr>
          <w:rFonts w:ascii="Courier New" w:cs="Courier New" w:eastAsia="Courier New" w:hAnsi="Courier New"/>
          <w:color w:val="1F3864"/>
          <w:sz w:val="18"/>
          <w:szCs w:val="18"/>
        </w:rPr>
        <w:t xml:space="preserve">    try:</w:t>
      </w:r>
    </w:p>
    <w:p>
      <w:pPr>
        <w:spacing w:after="0" w:before="0" w:line="240"/>
      </w:pPr>
      <w:r>
        <w:rPr>
          <w:rFonts w:ascii="Courier New" w:cs="Courier New" w:eastAsia="Courier New" w:hAnsi="Courier New"/>
          <w:color w:val="1F3864"/>
          <w:sz w:val="18"/>
          <w:szCs w:val="18"/>
        </w:rPr>
        <w:t xml:space="preserve">        parsed = json.loads(resposta_bruta)</w:t>
      </w:r>
    </w:p>
    <w:p>
      <w:pPr>
        <w:spacing w:after="0" w:before="0" w:line="240"/>
      </w:pPr>
      <w:r>
        <w:rPr>
          <w:rFonts w:ascii="Courier New" w:cs="Courier New" w:eastAsia="Courier New" w:hAnsi="Courier New"/>
          <w:color w:val="1F3864"/>
          <w:sz w:val="18"/>
          <w:szCs w:val="18"/>
        </w:rPr>
        <w:t xml:space="preserve">    except json.JSONDecodeError:</w:t>
      </w:r>
    </w:p>
    <w:p>
      <w:pPr>
        <w:spacing w:after="0" w:before="0" w:line="240"/>
      </w:pPr>
      <w:r>
        <w:rPr>
          <w:rFonts w:ascii="Courier New" w:cs="Courier New" w:eastAsia="Courier New" w:hAnsi="Courier New"/>
          <w:color w:val="1F3864"/>
          <w:sz w:val="18"/>
          <w:szCs w:val="18"/>
        </w:rPr>
        <w:t xml:space="preserve">        return True</w:t>
      </w:r>
    </w:p>
    <w:p>
      <w:pPr>
        <w:spacing w:after="0" w:before="0" w:line="240"/>
      </w:pPr>
      <w:r>
        <w:rPr>
          <w:rFonts w:ascii="Courier New" w:cs="Courier New" w:eastAsia="Courier New" w:hAnsi="Courier New"/>
          <w:color w:val="1F3864"/>
          <w:sz w:val="18"/>
          <w:szCs w:val="18"/>
        </w:rPr>
        <w:t xml:space="preserve">    # C2: Tipo da raiz</w:t>
      </w:r>
    </w:p>
    <w:p>
      <w:pPr>
        <w:spacing w:after="0" w:before="0" w:line="240"/>
      </w:pPr>
      <w:r>
        <w:rPr>
          <w:rFonts w:ascii="Courier New" w:cs="Courier New" w:eastAsia="Courier New" w:hAnsi="Courier New"/>
          <w:color w:val="1F3864"/>
          <w:sz w:val="18"/>
          <w:szCs w:val="18"/>
        </w:rPr>
        <w:t xml:space="preserve">    if not isinstance(parsed, dict):</w:t>
      </w:r>
    </w:p>
    <w:p>
      <w:pPr>
        <w:spacing w:after="0" w:before="0" w:line="240"/>
      </w:pPr>
      <w:r>
        <w:rPr>
          <w:rFonts w:ascii="Courier New" w:cs="Courier New" w:eastAsia="Courier New" w:hAnsi="Courier New"/>
          <w:color w:val="1F3864"/>
          <w:sz w:val="18"/>
          <w:szCs w:val="18"/>
        </w:rPr>
        <w:t xml:space="preserve">        return True</w:t>
      </w:r>
    </w:p>
    <w:p>
      <w:pPr>
        <w:spacing w:after="0" w:before="0" w:line="240"/>
      </w:pPr>
      <w:r>
        <w:rPr>
          <w:rFonts w:ascii="Courier New" w:cs="Courier New" w:eastAsia="Courier New" w:hAnsi="Courier New"/>
          <w:color w:val="1F3864"/>
          <w:sz w:val="18"/>
          <w:szCs w:val="18"/>
        </w:rPr>
        <w:t xml:space="preserve">    # C3: pontos_fortes e string monolitica nao-vazia</w:t>
      </w:r>
    </w:p>
    <w:p>
      <w:pPr>
        <w:spacing w:after="0" w:before="0" w:line="240"/>
      </w:pPr>
      <w:r>
        <w:rPr>
          <w:rFonts w:ascii="Courier New" w:cs="Courier New" w:eastAsia="Courier New" w:hAnsi="Courier New"/>
          <w:color w:val="1F3864"/>
          <w:sz w:val="18"/>
          <w:szCs w:val="18"/>
        </w:rPr>
        <w:t xml:space="preserve">    pf = parsed.get('pontos_fortes')</w:t>
      </w:r>
    </w:p>
    <w:p>
      <w:pPr>
        <w:spacing w:after="0" w:before="0" w:line="240"/>
      </w:pPr>
      <w:r>
        <w:rPr>
          <w:rFonts w:ascii="Courier New" w:cs="Courier New" w:eastAsia="Courier New" w:hAnsi="Courier New"/>
          <w:color w:val="1F3864"/>
          <w:sz w:val="18"/>
          <w:szCs w:val="18"/>
        </w:rPr>
        <w:t xml:space="preserve">    if not (isinstance(pf, str) and pf.strip()):</w:t>
      </w:r>
    </w:p>
    <w:p>
      <w:pPr>
        <w:spacing w:after="0" w:before="0" w:line="240"/>
      </w:pPr>
      <w:r>
        <w:rPr>
          <w:rFonts w:ascii="Courier New" w:cs="Courier New" w:eastAsia="Courier New" w:hAnsi="Courier New"/>
          <w:color w:val="1F3864"/>
          <w:sz w:val="18"/>
          <w:szCs w:val="18"/>
        </w:rPr>
        <w:t xml:space="preserve">        return True</w:t>
      </w:r>
    </w:p>
    <w:p>
      <w:pPr>
        <w:spacing w:after="0" w:before="0" w:line="240"/>
      </w:pPr>
      <w:r>
        <w:rPr>
          <w:rFonts w:ascii="Courier New" w:cs="Courier New" w:eastAsia="Courier New" w:hAnsi="Courier New"/>
          <w:color w:val="1F3864"/>
          <w:sz w:val="18"/>
          <w:szCs w:val="18"/>
        </w:rPr>
        <w:t xml:space="preserve">    # C4: perguntas_reflexivas e lista nao-vazia de strings</w:t>
      </w:r>
    </w:p>
    <w:p>
      <w:pPr>
        <w:spacing w:after="0" w:before="0" w:line="240"/>
      </w:pPr>
      <w:r>
        <w:rPr>
          <w:rFonts w:ascii="Courier New" w:cs="Courier New" w:eastAsia="Courier New" w:hAnsi="Courier New"/>
          <w:color w:val="1F3864"/>
          <w:sz w:val="18"/>
          <w:szCs w:val="18"/>
        </w:rPr>
        <w:t xml:space="preserve">    pr = parsed.get('perguntas_reflexivas')</w:t>
      </w:r>
    </w:p>
    <w:p>
      <w:pPr>
        <w:spacing w:after="0" w:before="0" w:line="240"/>
      </w:pPr>
      <w:r>
        <w:rPr>
          <w:rFonts w:ascii="Courier New" w:cs="Courier New" w:eastAsia="Courier New" w:hAnsi="Courier New"/>
          <w:color w:val="1F3864"/>
          <w:sz w:val="18"/>
          <w:szCs w:val="18"/>
        </w:rPr>
        <w:t xml:space="preserve">    if not isinstance(pr, list) or len(pr) == 0 \</w:t>
      </w:r>
    </w:p>
    <w:p>
      <w:pPr>
        <w:spacing w:after="0" w:before="0" w:line="240"/>
      </w:pPr>
      <w:r>
        <w:rPr>
          <w:rFonts w:ascii="Courier New" w:cs="Courier New" w:eastAsia="Courier New" w:hAnsi="Courier New"/>
          <w:color w:val="1F3864"/>
          <w:sz w:val="18"/>
          <w:szCs w:val="18"/>
        </w:rPr>
        <w:t xml:space="preserve">       or any(not isinstance(x, str) for x in pr):</w:t>
      </w:r>
    </w:p>
    <w:p>
      <w:pPr>
        <w:spacing w:after="0" w:before="0" w:line="240"/>
      </w:pPr>
      <w:r>
        <w:rPr>
          <w:rFonts w:ascii="Courier New" w:cs="Courier New" w:eastAsia="Courier New" w:hAnsi="Courier New"/>
          <w:color w:val="1F3864"/>
          <w:sz w:val="18"/>
          <w:szCs w:val="18"/>
        </w:rPr>
        <w:t xml:space="preserve">        return True</w:t>
      </w:r>
    </w:p>
    <w:p>
      <w:pPr>
        <w:spacing w:after="0" w:before="0" w:line="240"/>
      </w:pPr>
      <w:r>
        <w:rPr>
          <w:rFonts w:ascii="Courier New" w:cs="Courier New" w:eastAsia="Courier New" w:hAnsi="Courier New"/>
          <w:color w:val="1F3864"/>
          <w:sz w:val="18"/>
          <w:szCs w:val="18"/>
        </w:rPr>
        <w:t xml:space="preserve">    return False</w:t>
      </w:r>
    </w:p>
    <w:p>
      <w:pPr>
        <w:spacing w:before="80"/>
      </w:pPr>
    </w:p>
    <w:p>
      <w:pPr>
        <w:spacing w:after="80" w:before="80" w:line="276"/>
        <w:ind w:firstLine="720"/>
        <w:jc w:val="both"/>
      </w:pPr>
      <w:r>
        <w:rPr>
          <w:rFonts w:ascii="Arial" w:cs="Arial" w:eastAsia="Arial" w:hAnsi="Arial"/>
          <w:sz w:val="22"/>
          <w:szCs w:val="22"/>
        </w:rPr>
        <w:t xml:space="preserve">A escolha por classificador determinístico, em lugar de avaliação por modelo-juiz, foi deliberada: a conformidade estrutural é propriedade sintático-tipológica decidível por inspeção de tipos, sem espaço para subjetividade interpretativa.</w:t>
      </w:r>
    </w:p>
    <w:p>
      <w:pPr>
        <w:pStyle w:val="Heading2"/>
        <w:spacing w:after="120" w:before="320"/>
      </w:pPr>
      <w:r>
        <w:rPr>
          <w:rFonts w:ascii="Arial" w:cs="Arial" w:eastAsia="Arial" w:hAnsi="Arial"/>
          <w:b/>
          <w:bCs/>
          <w:color w:val="1F4E79"/>
          <w:sz w:val="24"/>
          <w:szCs w:val="24"/>
        </w:rPr>
        <w:t xml:space="preserve">3.5 Critérios de Análise: Eficiência e Aderência Pedagógica</w:t>
      </w:r>
    </w:p>
    <w:p>
      <w:pPr>
        <w:spacing w:after="80" w:before="80" w:line="276"/>
        <w:ind w:firstLine="720"/>
        <w:jc w:val="both"/>
      </w:pPr>
      <w:r>
        <w:rPr>
          <w:rFonts w:ascii="Arial" w:cs="Arial" w:eastAsia="Arial" w:hAnsi="Arial"/>
          <w:sz w:val="22"/>
          <w:szCs w:val="22"/>
        </w:rPr>
        <w:t xml:space="preserve">A latência foi medida em wall-clock via time.time(), incluindo toda a pilha de E/S local. Para cada modelo foram computados: média, desvio-padrão, mediana (p50), percentil 95 (p95), mínimo e máximo, em milissegundos. O coeficiente de variação (CV = σ/µ) opera como medida adimensional de estabilidade entre repetições. Para o modelo melhor classificado, conduziu-se inspeção qualitativa verificando a presença de termos da taxonomia metalinguística de Koch: coesão, conector, pronome, referencial, sequencial, ambiguidade, repetição, sinônimo, elipse, operador argumentativo, marcador temporal e justaposição.</w:t>
      </w:r>
    </w:p>
    <w:p>
      <w:pPr>
        <w:pStyle w:val="Heading2"/>
        <w:spacing w:after="120" w:before="320"/>
      </w:pPr>
      <w:r>
        <w:rPr>
          <w:rFonts w:ascii="Arial" w:cs="Arial" w:eastAsia="Arial" w:hAnsi="Arial"/>
          <w:b/>
          <w:bCs/>
          <w:color w:val="1F4E79"/>
          <w:sz w:val="24"/>
          <w:szCs w:val="24"/>
        </w:rPr>
        <w:t xml:space="preserve">3.6 Anatomia das Saídas: Exemplos Canônicos do Corpus</w:t>
      </w:r>
    </w:p>
    <w:p>
      <w:pPr>
        <w:spacing w:after="80" w:before="80" w:line="276"/>
        <w:ind w:firstLine="720"/>
        <w:jc w:val="both"/>
      </w:pPr>
      <w:r>
        <w:rPr>
          <w:rFonts w:ascii="Arial" w:cs="Arial" w:eastAsia="Arial" w:hAnsi="Arial"/>
          <w:sz w:val="22"/>
          <w:szCs w:val="22"/>
        </w:rPr>
        <w:t xml:space="preserve">O cenário 1 (Coesão Referencial: repetição lexical excessiva) apresenta o seguinte texto sintético atribuído a aluno hipotético:</w:t>
      </w:r>
    </w:p>
    <w:p>
      <w:pPr>
        <w:spacing w:after="80" w:before="80" w:line="260"/>
        <w:ind w:left="720" w:right="720"/>
      </w:pPr>
      <w:r>
        <w:rPr>
          <w:rFonts w:ascii="Arial" w:cs="Arial" w:eastAsia="Arial" w:hAnsi="Arial"/>
          <w:color w:val="333333"/>
          <w:sz w:val="20"/>
          <w:szCs w:val="20"/>
        </w:rPr>
        <w:t xml:space="preserve">"Resenha sobre A Cartomante: A cartomante falou pro Camilo que tava tudo bem. A cartomante leu as cartas. A cartomante sorriu pra ele. A cartomante deu certeza pra ele. Depois o Camilo foi pra casa do Vilela e morreu. A cartomante tinha errado tudo."</w:t>
      </w:r>
    </w:p>
    <w:p>
      <w:pPr>
        <w:spacing w:after="80" w:before="80" w:line="276"/>
        <w:ind w:firstLine="720"/>
        <w:jc w:val="both"/>
      </w:pPr>
      <w:r>
        <w:rPr>
          <w:rFonts w:ascii="Arial" w:cs="Arial" w:eastAsia="Arial" w:hAnsi="Arial"/>
          <w:sz w:val="22"/>
          <w:szCs w:val="22"/>
        </w:rPr>
        <w:t xml:space="preserve">A saída conforme do qwen2.5:3b-instruct respeita a tipologia declarada: pontos_fortes como prosa contínua e perguntas_reflexivas como par de questões em lista de strings. A saída divergente modalidade A (llama3.2:1b) emite JSON sintaticamente válido, mas retorna pontos_fortes como array de strings, violando a condição C3. A saída divergente modalidade B (phi3:mini) abandona o esquema inteiramente, impõe estrutura própria com chaves não solicitadas e alucina regra gramatical inexistente ao prescrever a forma "lera" em substituição ao correto "leu".</w:t>
      </w:r>
    </w:p>
    <w:p>
      <w:pPr>
        <w:pStyle w:val="Heading2"/>
        <w:spacing w:after="120" w:before="320"/>
      </w:pPr>
      <w:r>
        <w:rPr>
          <w:rFonts w:ascii="Arial" w:cs="Arial" w:eastAsia="Arial" w:hAnsi="Arial"/>
          <w:b/>
          <w:bCs/>
          <w:color w:val="1F4E79"/>
          <w:sz w:val="24"/>
          <w:szCs w:val="24"/>
        </w:rPr>
        <w:t xml:space="preserve">3.7 Protocolo Secundário de Falsificação</w:t>
      </w:r>
    </w:p>
    <w:p>
      <w:pPr>
        <w:spacing w:after="80" w:before="80" w:line="276"/>
        <w:ind w:firstLine="720"/>
        <w:jc w:val="both"/>
      </w:pPr>
      <w:r>
        <w:rPr>
          <w:rFonts w:ascii="Arial" w:cs="Arial" w:eastAsia="Arial" w:hAnsi="Arial"/>
          <w:sz w:val="22"/>
          <w:szCs w:val="22"/>
        </w:rPr>
        <w:t xml:space="preserve">Para descartar hipóteses concorrentes sobre a divergência sistemática da família Llama 3.2, foram executados quatro isolamentos disjuntos totalizando 80 chamadas adicionais:</w:t>
      </w:r>
    </w:p>
    <w:p>
      <w:pPr>
        <w:pStyle w:val="ListParagraph"/>
        <w:numPr>
          <w:ilvl w:val="0"/>
          <w:numId w:val="2"/>
        </w:numPr>
        <w:spacing w:after="60" w:before="60" w:line="260"/>
      </w:pPr>
      <w:r>
        <w:rPr>
          <w:rFonts w:ascii="Arial" w:cs="Arial" w:eastAsia="Arial" w:hAnsi="Arial"/>
          <w:sz w:val="22"/>
          <w:szCs w:val="22"/>
        </w:rPr>
        <w:t xml:space="preserve">E1: isolamento da estocasticidade, com temperature = 0.0 (regime determinístico guloso).</w:t>
      </w:r>
    </w:p>
    <w:p>
      <w:pPr>
        <w:pStyle w:val="ListParagraph"/>
        <w:numPr>
          <w:ilvl w:val="0"/>
          <w:numId w:val="2"/>
        </w:numPr>
        <w:spacing w:after="60" w:before="60" w:line="260"/>
      </w:pPr>
      <w:r>
        <w:rPr>
          <w:rFonts w:ascii="Arial" w:cs="Arial" w:eastAsia="Arial" w:hAnsi="Arial"/>
          <w:sz w:val="22"/>
          <w:szCs w:val="22"/>
        </w:rPr>
        <w:t xml:space="preserve">E2: isolamento por demonstração em contexto, com par user/assistant one-shot exibindo a resposta-ouro do cenário 1.</w:t>
      </w:r>
    </w:p>
    <w:p>
      <w:pPr>
        <w:pStyle w:val="ListParagraph"/>
        <w:numPr>
          <w:ilvl w:val="0"/>
          <w:numId w:val="2"/>
        </w:numPr>
        <w:spacing w:after="60" w:before="60" w:line="260"/>
      </w:pPr>
      <w:r>
        <w:rPr>
          <w:rFonts w:ascii="Arial" w:cs="Arial" w:eastAsia="Arial" w:hAnsi="Arial"/>
          <w:sz w:val="22"/>
          <w:szCs w:val="22"/>
        </w:rPr>
        <w:t xml:space="preserve">E2b: isolamento conjunto, combinando E1 e E2.</w:t>
      </w:r>
    </w:p>
    <w:p>
      <w:pPr>
        <w:pStyle w:val="ListParagraph"/>
        <w:numPr>
          <w:ilvl w:val="0"/>
          <w:numId w:val="2"/>
        </w:numPr>
        <w:spacing w:after="60" w:before="60" w:line="260"/>
      </w:pPr>
      <w:r>
        <w:rPr>
          <w:rFonts w:ascii="Arial" w:cs="Arial" w:eastAsia="Arial" w:hAnsi="Arial"/>
          <w:sz w:val="22"/>
          <w:szCs w:val="22"/>
        </w:rPr>
        <w:t xml:space="preserve">E3: isolamento da camada cliente, com mesma carga útil transmitida via curl sem mediação da biblioteca Python.</w:t>
      </w:r>
    </w:p>
    <w:p>
      <w:pPr>
        <w:pStyle w:val="Heading2"/>
        <w:spacing w:after="120" w:before="320"/>
      </w:pPr>
      <w:r>
        <w:rPr>
          <w:rFonts w:ascii="Arial" w:cs="Arial" w:eastAsia="Arial" w:hAnsi="Arial"/>
          <w:b/>
          <w:bCs/>
          <w:color w:val="1F4E79"/>
          <w:sz w:val="24"/>
          <w:szCs w:val="24"/>
        </w:rPr>
        <w:t xml:space="preserve">3.8 Reprodutibilidade e Disponibilidade de Artefatos</w:t>
      </w:r>
    </w:p>
    <w:p>
      <w:pPr>
        <w:spacing w:after="80" w:before="80" w:line="276"/>
        <w:ind w:firstLine="720"/>
        <w:jc w:val="both"/>
      </w:pPr>
      <w:r>
        <w:rPr>
          <w:rFonts w:ascii="Arial" w:cs="Arial" w:eastAsia="Arial" w:hAnsi="Arial"/>
          <w:sz w:val="22"/>
          <w:szCs w:val="22"/>
        </w:rPr>
        <w:t xml:space="preserve">O corpus completo das 312 chamadas, incluindo prompts enviados, respostas brutas, métricas de telemetria (tokens_input, tokens_output, latencia_ms) e metadados de execução, foi preservado em arquivos JSON estruturados. Os scripts de coleta, classificação determinística e agregação foram desenvolvidos em Python 3.11. A integralidade do código-fonte e dos dados brutos está disponível em repositório do autor sob solicitação.</w:t>
      </w:r>
    </w:p>
    <w:p>
      <w:pPr>
        <w:pStyle w:val="Heading1"/>
        <w:spacing w:after="120" w:before="320"/>
      </w:pPr>
      <w:r>
        <w:rPr>
          <w:rFonts w:ascii="Arial" w:cs="Arial" w:eastAsia="Arial" w:hAnsi="Arial"/>
          <w:b/>
          <w:bCs/>
          <w:color w:val="1F4E79"/>
          <w:sz w:val="28"/>
          <w:szCs w:val="28"/>
        </w:rPr>
        <w:t xml:space="preserve">4. Resultados de Eficiência Computacional</w:t>
      </w:r>
    </w:p>
    <w:p>
      <w:pPr>
        <w:spacing w:after="80" w:before="80" w:line="276"/>
        <w:ind w:firstLine="720"/>
        <w:jc w:val="both"/>
      </w:pPr>
      <w:r>
        <w:rPr>
          <w:rFonts w:ascii="Arial" w:cs="Arial" w:eastAsia="Arial" w:hAnsi="Arial"/>
          <w:sz w:val="22"/>
          <w:szCs w:val="22"/>
        </w:rPr>
        <w:t xml:space="preserve">A Tabela 1 sintetiza as métricas agregadas de eficiência por modelo (n = 39 chamadas por linha), ordenadas por latência média crescente.</w:t>
      </w:r>
    </w:p>
    <w:p>
      <w:pPr>
        <w:spacing w:after="60" w:before="120"/>
      </w:pPr>
      <w:r>
        <w:rPr>
          <w:rFonts w:ascii="Arial" w:cs="Arial" w:eastAsia="Arial" w:hAnsi="Arial"/>
          <w:b/>
          <w:bCs/>
          <w:sz w:val="20"/>
          <w:szCs w:val="20"/>
        </w:rPr>
        <w:t xml:space="preserve">Tabela 1. Métricas de eficiência por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50"/>
        <w:gridCol w:w="1350"/>
        <w:gridCol w:w="1000"/>
        <w:gridCol w:w="800"/>
        <w:gridCol w:w="1100"/>
        <w:gridCol w:w="760"/>
        <w:gridCol w:w="700"/>
      </w:tblGrid>
      <w:tr>
        <w:trPr>
          <w:tblHeader/>
        </w:trPr>
        <w:tc>
          <w:tcPr>
            <w:tcW w:type="dxa" w:w="23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Modelo</w:t>
            </w:r>
          </w:p>
        </w:tc>
        <w:tc>
          <w:tcPr>
            <w:tcW w:type="dxa" w:w="135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Lat. média (ms)</w:t>
            </w:r>
          </w:p>
        </w:tc>
        <w:tc>
          <w:tcPr>
            <w:tcW w:type="dxa" w:w="135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Desv.-pad. (ms)</w:t>
            </w:r>
          </w:p>
        </w:tc>
        <w:tc>
          <w:tcPr>
            <w:tcW w:type="dxa" w:w="10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p95 (ms)</w:t>
            </w:r>
          </w:p>
        </w:tc>
        <w:tc>
          <w:tcPr>
            <w:tcW w:type="dxa" w:w="8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CV</w:t>
            </w:r>
          </w:p>
        </w:tc>
        <w:tc>
          <w:tcPr>
            <w:tcW w:type="dxa" w:w="11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Tokens out (média)</w:t>
            </w:r>
          </w:p>
        </w:tc>
        <w:tc>
          <w:tcPr>
            <w:tcW w:type="dxa" w:w="76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Faixa</w:t>
            </w:r>
          </w:p>
        </w:tc>
        <w:tc>
          <w:tcPr>
            <w:tcW w:type="dxa" w:w="7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Ref.</w:t>
            </w:r>
          </w:p>
        </w:tc>
      </w:tr>
      <w:tr>
        <w:tc>
          <w:tcPr>
            <w:tcW w:type="dxa" w:w="23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qwen2.5:1.5b-instruct</w:t>
            </w:r>
          </w:p>
        </w:tc>
        <w:tc>
          <w:tcPr>
            <w:tcW w:type="dxa" w:w="135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2.299</w:t>
            </w:r>
          </w:p>
        </w:tc>
        <w:tc>
          <w:tcPr>
            <w:tcW w:type="dxa" w:w="135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474</w:t>
            </w:r>
          </w:p>
        </w:tc>
        <w:tc>
          <w:tcPr>
            <w:tcW w:type="dxa" w:w="1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3.234</w:t>
            </w:r>
          </w:p>
        </w:tc>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20,6%</w:t>
            </w:r>
          </w:p>
        </w:tc>
        <w:tc>
          <w:tcPr>
            <w:tcW w:type="dxa" w:w="11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118,8</w:t>
            </w:r>
          </w:p>
        </w:tc>
        <w:tc>
          <w:tcPr>
            <w:tcW w:type="dxa" w:w="7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deployável</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r>
      <w:tr>
        <w:tc>
          <w:tcPr>
            <w:tcW w:type="dxa" w:w="230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llama3.2:1b</w:t>
            </w:r>
          </w:p>
        </w:tc>
        <w:tc>
          <w:tcPr>
            <w:tcW w:type="dxa" w:w="135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2.389</w:t>
            </w:r>
          </w:p>
        </w:tc>
        <w:tc>
          <w:tcPr>
            <w:tcW w:type="dxa" w:w="135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1.423</w:t>
            </w:r>
          </w:p>
        </w:tc>
        <w:tc>
          <w:tcPr>
            <w:tcW w:type="dxa" w:w="100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6.391</w:t>
            </w:r>
          </w:p>
        </w:tc>
        <w:tc>
          <w:tcPr>
            <w:tcW w:type="dxa" w:w="80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59,6%</w:t>
            </w:r>
          </w:p>
        </w:tc>
        <w:tc>
          <w:tcPr>
            <w:tcW w:type="dxa" w:w="110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119,5</w:t>
            </w:r>
          </w:p>
        </w:tc>
        <w:tc>
          <w:tcPr>
            <w:tcW w:type="dxa" w:w="76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deployável</w:t>
            </w:r>
          </w:p>
        </w:tc>
        <w:tc>
          <w:tcPr>
            <w:tcW w:type="dxa" w:w="70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r>
      <w:tr>
        <w:tc>
          <w:tcPr>
            <w:tcW w:type="dxa" w:w="23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qwen2.5:3b-instruct</w:t>
            </w:r>
          </w:p>
        </w:tc>
        <w:tc>
          <w:tcPr>
            <w:tcW w:type="dxa" w:w="135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2.906</w:t>
            </w:r>
          </w:p>
        </w:tc>
        <w:tc>
          <w:tcPr>
            <w:tcW w:type="dxa" w:w="135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552</w:t>
            </w:r>
          </w:p>
        </w:tc>
        <w:tc>
          <w:tcPr>
            <w:tcW w:type="dxa" w:w="1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4.486</w:t>
            </w:r>
          </w:p>
        </w:tc>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19,0%</w:t>
            </w:r>
          </w:p>
        </w:tc>
        <w:tc>
          <w:tcPr>
            <w:tcW w:type="dxa" w:w="11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104,6</w:t>
            </w:r>
          </w:p>
        </w:tc>
        <w:tc>
          <w:tcPr>
            <w:tcW w:type="dxa" w:w="7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deployável</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r>
      <w:tr>
        <w:tc>
          <w:tcPr>
            <w:tcW w:type="dxa" w:w="230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llama3.2:3b</w:t>
            </w:r>
          </w:p>
        </w:tc>
        <w:tc>
          <w:tcPr>
            <w:tcW w:type="dxa" w:w="135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3.020</w:t>
            </w:r>
          </w:p>
        </w:tc>
        <w:tc>
          <w:tcPr>
            <w:tcW w:type="dxa" w:w="135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695</w:t>
            </w:r>
          </w:p>
        </w:tc>
        <w:tc>
          <w:tcPr>
            <w:tcW w:type="dxa" w:w="100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4.721</w:t>
            </w:r>
          </w:p>
        </w:tc>
        <w:tc>
          <w:tcPr>
            <w:tcW w:type="dxa" w:w="80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23,0%</w:t>
            </w:r>
          </w:p>
        </w:tc>
        <w:tc>
          <w:tcPr>
            <w:tcW w:type="dxa" w:w="110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108,9</w:t>
            </w:r>
          </w:p>
        </w:tc>
        <w:tc>
          <w:tcPr>
            <w:tcW w:type="dxa" w:w="76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deployável</w:t>
            </w:r>
          </w:p>
        </w:tc>
        <w:tc>
          <w:tcPr>
            <w:tcW w:type="dxa" w:w="70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r>
      <w:tr>
        <w:tc>
          <w:tcPr>
            <w:tcW w:type="dxa" w:w="23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gemma2:2b</w:t>
            </w:r>
          </w:p>
        </w:tc>
        <w:tc>
          <w:tcPr>
            <w:tcW w:type="dxa" w:w="135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3.744</w:t>
            </w:r>
          </w:p>
        </w:tc>
        <w:tc>
          <w:tcPr>
            <w:tcW w:type="dxa" w:w="135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720</w:t>
            </w:r>
          </w:p>
        </w:tc>
        <w:tc>
          <w:tcPr>
            <w:tcW w:type="dxa" w:w="1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5.080</w:t>
            </w:r>
          </w:p>
        </w:tc>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19,2%</w:t>
            </w:r>
          </w:p>
        </w:tc>
        <w:tc>
          <w:tcPr>
            <w:tcW w:type="dxa" w:w="11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121,8</w:t>
            </w:r>
          </w:p>
        </w:tc>
        <w:tc>
          <w:tcPr>
            <w:tcW w:type="dxa" w:w="7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deployável</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r>
      <w:tr>
        <w:tc>
          <w:tcPr>
            <w:tcW w:type="dxa" w:w="230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gemma2:9b</w:t>
            </w:r>
          </w:p>
        </w:tc>
        <w:tc>
          <w:tcPr>
            <w:tcW w:type="dxa" w:w="135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8.681</w:t>
            </w:r>
          </w:p>
        </w:tc>
        <w:tc>
          <w:tcPr>
            <w:tcW w:type="dxa" w:w="135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1.425</w:t>
            </w:r>
          </w:p>
        </w:tc>
        <w:tc>
          <w:tcPr>
            <w:tcW w:type="dxa" w:w="100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11.130</w:t>
            </w:r>
          </w:p>
        </w:tc>
        <w:tc>
          <w:tcPr>
            <w:tcW w:type="dxa" w:w="80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16,4%</w:t>
            </w:r>
          </w:p>
        </w:tc>
        <w:tc>
          <w:tcPr>
            <w:tcW w:type="dxa" w:w="110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126,9</w:t>
            </w:r>
          </w:p>
        </w:tc>
        <w:tc>
          <w:tcPr>
            <w:tcW w:type="dxa" w:w="76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referência</w:t>
            </w:r>
          </w:p>
        </w:tc>
        <w:tc>
          <w:tcPr>
            <w:tcW w:type="dxa" w:w="70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r>
      <w:tr>
        <w:tc>
          <w:tcPr>
            <w:tcW w:type="dxa" w:w="23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llama3:8b</w:t>
            </w:r>
          </w:p>
        </w:tc>
        <w:tc>
          <w:tcPr>
            <w:tcW w:type="dxa" w:w="135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10.523</w:t>
            </w:r>
          </w:p>
        </w:tc>
        <w:tc>
          <w:tcPr>
            <w:tcW w:type="dxa" w:w="135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19.708</w:t>
            </w:r>
          </w:p>
        </w:tc>
        <w:tc>
          <w:tcPr>
            <w:tcW w:type="dxa" w:w="1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19.326</w:t>
            </w:r>
          </w:p>
        </w:tc>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187,3%</w:t>
            </w:r>
          </w:p>
        </w:tc>
        <w:tc>
          <w:tcPr>
            <w:tcW w:type="dxa" w:w="11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144,7</w:t>
            </w:r>
          </w:p>
        </w:tc>
        <w:tc>
          <w:tcPr>
            <w:tcW w:type="dxa" w:w="7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referência</w:t>
            </w:r>
          </w:p>
        </w:tc>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r>
      <w:tr>
        <w:tc>
          <w:tcPr>
            <w:tcW w:type="dxa" w:w="230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phi3:mini</w:t>
            </w:r>
          </w:p>
        </w:tc>
        <w:tc>
          <w:tcPr>
            <w:tcW w:type="dxa" w:w="135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14.769</w:t>
            </w:r>
          </w:p>
        </w:tc>
        <w:tc>
          <w:tcPr>
            <w:tcW w:type="dxa" w:w="135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12.228</w:t>
            </w:r>
          </w:p>
        </w:tc>
        <w:tc>
          <w:tcPr>
            <w:tcW w:type="dxa" w:w="100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43.717</w:t>
            </w:r>
          </w:p>
        </w:tc>
        <w:tc>
          <w:tcPr>
            <w:tcW w:type="dxa" w:w="80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82,8%</w:t>
            </w:r>
          </w:p>
        </w:tc>
        <w:tc>
          <w:tcPr>
            <w:tcW w:type="dxa" w:w="110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471,2</w:t>
            </w:r>
          </w:p>
        </w:tc>
        <w:tc>
          <w:tcPr>
            <w:tcW w:type="dxa" w:w="76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deployável</w:t>
            </w:r>
          </w:p>
        </w:tc>
        <w:tc>
          <w:tcPr>
            <w:tcW w:type="dxa" w:w="70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r>
    </w:tbl>
    <w:p>
      <w:pPr>
        <w:spacing w:after="80" w:before="120" w:line="276"/>
        <w:ind w:firstLine="720"/>
        <w:jc w:val="both"/>
      </w:pPr>
      <w:r>
        <w:rPr>
          <w:rFonts w:ascii="Arial" w:cs="Arial" w:eastAsia="Arial" w:hAnsi="Arial"/>
          <w:sz w:val="22"/>
          <w:szCs w:val="22"/>
        </w:rPr>
        <w:t xml:space="preserve">A literatura clássica de Interação Humano-Computador estabelece três patamares relevantes: até 100 ms para sensação de instantaneidade; até 1 s para preservação do fluxo cognitivo; e até 10 s para manutenção da atenção dirigida em tarefas sequenciais (Nielsen, 1993; Card et al., 1991). O limiar de 10 s é adotado como critério operacional de viabilidade pedagógica em sala de aula síncrona.</w:t>
      </w:r>
    </w:p>
    <w:p>
      <w:pPr>
        <w:spacing w:after="80" w:before="80" w:line="276"/>
        <w:ind w:firstLine="720"/>
        <w:jc w:val="both"/>
      </w:pPr>
      <w:r>
        <w:rPr>
          <w:rFonts w:ascii="Arial" w:cs="Arial" w:eastAsia="Arial" w:hAnsi="Arial"/>
          <w:sz w:val="22"/>
          <w:szCs w:val="22"/>
        </w:rPr>
        <w:t xml:space="preserve">A família Qwen 2.5 lidera a dimensão de eficiência, com latências médias de 2.299 ms (variante 1,5B) e 2.906 ms (variante 3B), situando ambos os modelos a menos de um terço do limiar de UX. Os coeficientes de variação de 19-21% indicam variabilidade majoritariamente estocástica, atribuível ao parâmetro temperature = 0.2. O percentil 95 permanece abaixo de 4,5 s em ambos os casos.</w:t>
      </w:r>
    </w:p>
    <w:p>
      <w:pPr>
        <w:spacing w:after="80" w:before="80" w:line="276"/>
        <w:ind w:firstLine="720"/>
        <w:jc w:val="both"/>
      </w:pPr>
      <w:r>
        <w:rPr>
          <w:rFonts w:ascii="Arial" w:cs="Arial" w:eastAsia="Arial" w:hAnsi="Arial"/>
          <w:sz w:val="22"/>
          <w:szCs w:val="22"/>
        </w:rPr>
        <w:t xml:space="preserve">O phi3:mini configura caso paradigmático de inviabilidade computacional para o cenário síncrono: latência média de 14.769 ms, desvio-padrão de 12.228 ms (CV de 82,8%) e p95 de 43.717 s evidenciam comportamento marcadamente bimodal. Sua verbosidade média de 471,2 tokens, entre 3,9 e 4,5 vezes superior à dos demais modelos, configura, em si, falha pedagógica: respostas socráticas eficazes são reconhecidamente breves e focais (Paul &amp; Elder, 2007).</w:t>
      </w:r>
    </w:p>
    <w:p>
      <w:pPr>
        <w:pStyle w:val="Heading1"/>
        <w:spacing w:after="120" w:before="320"/>
      </w:pPr>
      <w:r>
        <w:rPr>
          <w:rFonts w:ascii="Arial" w:cs="Arial" w:eastAsia="Arial" w:hAnsi="Arial"/>
          <w:b/>
          <w:bCs/>
          <w:color w:val="1F4E79"/>
          <w:sz w:val="28"/>
          <w:szCs w:val="28"/>
        </w:rPr>
        <w:t xml:space="preserve">5. Resultados de Conformidade Estrutural e Achados Arquiteturais</w:t>
      </w:r>
    </w:p>
    <w:p>
      <w:pPr>
        <w:spacing w:after="80" w:before="80" w:line="276"/>
        <w:ind w:firstLine="720"/>
        <w:jc w:val="both"/>
      </w:pPr>
      <w:r>
        <w:rPr>
          <w:rFonts w:ascii="Arial" w:cs="Arial" w:eastAsia="Arial" w:hAnsi="Arial"/>
          <w:sz w:val="22"/>
          <w:szCs w:val="22"/>
        </w:rPr>
        <w:t xml:space="preserve">A Tabela 2 consolida as taxas de conformidade observadas, acompanhadas dos intervalos de confiança de Wilson (95%) e dos resultados do teste exato de Fisher para cada modelo em relação ao qwen2.5:3b-instruct.</w:t>
      </w:r>
    </w:p>
    <w:p>
      <w:pPr>
        <w:spacing w:after="60" w:before="120"/>
      </w:pPr>
      <w:r>
        <w:rPr>
          <w:rFonts w:ascii="Arial" w:cs="Arial" w:eastAsia="Arial" w:hAnsi="Arial"/>
          <w:b/>
          <w:bCs/>
          <w:sz w:val="20"/>
          <w:szCs w:val="20"/>
        </w:rPr>
        <w:t xml:space="preserve">Tabela 2. Conformidade estrutural por modelo com IC Wilson (95%) e Fisher Exact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000"/>
        <w:gridCol w:w="2460"/>
        <w:gridCol w:w="1300"/>
        <w:gridCol w:w="130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Modelo</w:t>
            </w:r>
          </w:p>
        </w:tc>
        <w:tc>
          <w:tcPr>
            <w:tcW w:type="dxa" w:w="9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 / n</w:t>
            </w:r>
          </w:p>
        </w:tc>
        <w:tc>
          <w:tcPr>
            <w:tcW w:type="dxa" w:w="10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Taxa conf.</w:t>
            </w:r>
          </w:p>
        </w:tc>
        <w:tc>
          <w:tcPr>
            <w:tcW w:type="dxa" w:w="246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IC 95% Wilson</w:t>
            </w:r>
          </w:p>
        </w:tc>
        <w:tc>
          <w:tcPr>
            <w:tcW w:type="dxa" w:w="13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Faixa</w:t>
            </w:r>
          </w:p>
        </w:tc>
        <w:tc>
          <w:tcPr>
            <w:tcW w:type="dxa" w:w="13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Fisher vs. Qwen 3B</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qwen2.5:3b-instruct</w:t>
            </w:r>
          </w:p>
        </w:tc>
        <w:tc>
          <w:tcPr>
            <w:tcW w:type="dxa" w:w="9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39/39</w:t>
            </w:r>
          </w:p>
        </w:tc>
        <w:tc>
          <w:tcPr>
            <w:tcW w:type="dxa" w:w="1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100.0 %</w:t>
            </w:r>
          </w:p>
        </w:tc>
        <w:tc>
          <w:tcPr>
            <w:tcW w:type="dxa" w:w="24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[91.0 %; 100.0 %]</w:t>
            </w:r>
          </w:p>
        </w:tc>
        <w:tc>
          <w:tcPr>
            <w:tcW w:type="dxa" w:w="13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deployável</w:t>
            </w:r>
          </w:p>
        </w:tc>
        <w:tc>
          <w:tcPr>
            <w:tcW w:type="dxa" w:w="13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555555"/>
                <w:sz w:val="18"/>
                <w:szCs w:val="18"/>
              </w:rPr>
              <w:t xml:space="preserve">referência</w:t>
            </w:r>
          </w:p>
        </w:tc>
      </w:tr>
      <w:tr>
        <w:tc>
          <w:tcPr>
            <w:tcW w:type="dxa" w:w="240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gemma2:9b</w:t>
            </w:r>
          </w:p>
        </w:tc>
        <w:tc>
          <w:tcPr>
            <w:tcW w:type="dxa" w:w="90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39/39</w:t>
            </w:r>
          </w:p>
        </w:tc>
        <w:tc>
          <w:tcPr>
            <w:tcW w:type="dxa" w:w="100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100.0 %</w:t>
            </w:r>
          </w:p>
        </w:tc>
        <w:tc>
          <w:tcPr>
            <w:tcW w:type="dxa" w:w="246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[91.0 %; 100.0 %]</w:t>
            </w:r>
          </w:p>
        </w:tc>
        <w:tc>
          <w:tcPr>
            <w:tcW w:type="dxa" w:w="130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555555"/>
                <w:sz w:val="18"/>
                <w:szCs w:val="18"/>
              </w:rPr>
              <w:t xml:space="preserve">referência</w:t>
            </w:r>
          </w:p>
        </w:tc>
        <w:tc>
          <w:tcPr>
            <w:tcW w:type="dxa" w:w="130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p = 1,000 n.s.</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llama3:8b</w:t>
            </w:r>
          </w:p>
        </w:tc>
        <w:tc>
          <w:tcPr>
            <w:tcW w:type="dxa" w:w="9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39/39</w:t>
            </w:r>
          </w:p>
        </w:tc>
        <w:tc>
          <w:tcPr>
            <w:tcW w:type="dxa" w:w="1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100.0 %</w:t>
            </w:r>
          </w:p>
        </w:tc>
        <w:tc>
          <w:tcPr>
            <w:tcW w:type="dxa" w:w="24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[91.0 %; 100.0 %]</w:t>
            </w:r>
          </w:p>
        </w:tc>
        <w:tc>
          <w:tcPr>
            <w:tcW w:type="dxa" w:w="13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555555"/>
                <w:sz w:val="18"/>
                <w:szCs w:val="18"/>
              </w:rPr>
              <w:t xml:space="preserve">referência</w:t>
            </w:r>
          </w:p>
        </w:tc>
        <w:tc>
          <w:tcPr>
            <w:tcW w:type="dxa" w:w="13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p = 1,000 n.s.</w:t>
            </w:r>
          </w:p>
        </w:tc>
      </w:tr>
      <w:tr>
        <w:tc>
          <w:tcPr>
            <w:tcW w:type="dxa" w:w="240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qwen2.5:1.5b-instruct</w:t>
            </w:r>
          </w:p>
        </w:tc>
        <w:tc>
          <w:tcPr>
            <w:tcW w:type="dxa" w:w="90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38/39</w:t>
            </w:r>
          </w:p>
        </w:tc>
        <w:tc>
          <w:tcPr>
            <w:tcW w:type="dxa" w:w="100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97.4 %</w:t>
            </w:r>
          </w:p>
        </w:tc>
        <w:tc>
          <w:tcPr>
            <w:tcW w:type="dxa" w:w="246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[86.8 %; 99.5 %]</w:t>
            </w:r>
          </w:p>
        </w:tc>
        <w:tc>
          <w:tcPr>
            <w:tcW w:type="dxa" w:w="130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deployável</w:t>
            </w:r>
          </w:p>
        </w:tc>
        <w:tc>
          <w:tcPr>
            <w:tcW w:type="dxa" w:w="130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p = 1,000 n.s.</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gemma2:2b</w:t>
            </w:r>
          </w:p>
        </w:tc>
        <w:tc>
          <w:tcPr>
            <w:tcW w:type="dxa" w:w="9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38/39</w:t>
            </w:r>
          </w:p>
        </w:tc>
        <w:tc>
          <w:tcPr>
            <w:tcW w:type="dxa" w:w="1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97.4 %</w:t>
            </w:r>
          </w:p>
        </w:tc>
        <w:tc>
          <w:tcPr>
            <w:tcW w:type="dxa" w:w="24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[86.8 %; 99.5 %]</w:t>
            </w:r>
          </w:p>
        </w:tc>
        <w:tc>
          <w:tcPr>
            <w:tcW w:type="dxa" w:w="13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deployável</w:t>
            </w:r>
          </w:p>
        </w:tc>
        <w:tc>
          <w:tcPr>
            <w:tcW w:type="dxa" w:w="13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p = 1,000 n.s.</w:t>
            </w:r>
          </w:p>
        </w:tc>
      </w:tr>
      <w:tr>
        <w:tc>
          <w:tcPr>
            <w:tcW w:type="dxa" w:w="240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llama3.2:1b</w:t>
            </w:r>
          </w:p>
        </w:tc>
        <w:tc>
          <w:tcPr>
            <w:tcW w:type="dxa" w:w="90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0/39</w:t>
            </w:r>
          </w:p>
        </w:tc>
        <w:tc>
          <w:tcPr>
            <w:tcW w:type="dxa" w:w="100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0.0 %</w:t>
            </w:r>
          </w:p>
        </w:tc>
        <w:tc>
          <w:tcPr>
            <w:tcW w:type="dxa" w:w="246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[0.0 %; 9.0 %]</w:t>
            </w:r>
          </w:p>
        </w:tc>
        <w:tc>
          <w:tcPr>
            <w:tcW w:type="dxa" w:w="130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deployável</w:t>
            </w:r>
          </w:p>
        </w:tc>
        <w:tc>
          <w:tcPr>
            <w:tcW w:type="dxa" w:w="130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bCs/>
                <w:color w:val="C00000"/>
                <w:sz w:val="18"/>
                <w:szCs w:val="18"/>
              </w:rPr>
              <w:t xml:space="preserve">p &lt; 0,001 ***</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llama3.2:3b</w:t>
            </w:r>
          </w:p>
        </w:tc>
        <w:tc>
          <w:tcPr>
            <w:tcW w:type="dxa" w:w="9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0/39</w:t>
            </w:r>
          </w:p>
        </w:tc>
        <w:tc>
          <w:tcPr>
            <w:tcW w:type="dxa" w:w="1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0.0 %</w:t>
            </w:r>
          </w:p>
        </w:tc>
        <w:tc>
          <w:tcPr>
            <w:tcW w:type="dxa" w:w="24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[0.0 %; 9.0 %]</w:t>
            </w:r>
          </w:p>
        </w:tc>
        <w:tc>
          <w:tcPr>
            <w:tcW w:type="dxa" w:w="13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deployável</w:t>
            </w:r>
          </w:p>
        </w:tc>
        <w:tc>
          <w:tcPr>
            <w:tcW w:type="dxa" w:w="13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bCs/>
                <w:color w:val="C00000"/>
                <w:sz w:val="18"/>
                <w:szCs w:val="18"/>
              </w:rPr>
              <w:t xml:space="preserve">p &lt; 0,001 ***</w:t>
            </w:r>
          </w:p>
        </w:tc>
      </w:tr>
      <w:tr>
        <w:tc>
          <w:tcPr>
            <w:tcW w:type="dxa" w:w="240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phi3:mini</w:t>
            </w:r>
          </w:p>
        </w:tc>
        <w:tc>
          <w:tcPr>
            <w:tcW w:type="dxa" w:w="90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0/39</w:t>
            </w:r>
          </w:p>
        </w:tc>
        <w:tc>
          <w:tcPr>
            <w:tcW w:type="dxa" w:w="100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0.0 %</w:t>
            </w:r>
          </w:p>
        </w:tc>
        <w:tc>
          <w:tcPr>
            <w:tcW w:type="dxa" w:w="246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[0.0 %; 9.0 %]</w:t>
            </w:r>
          </w:p>
        </w:tc>
        <w:tc>
          <w:tcPr>
            <w:tcW w:type="dxa" w:w="130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deployável</w:t>
            </w:r>
          </w:p>
        </w:tc>
        <w:tc>
          <w:tcPr>
            <w:tcW w:type="dxa" w:w="130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bCs/>
                <w:color w:val="C00000"/>
                <w:sz w:val="18"/>
                <w:szCs w:val="18"/>
              </w:rPr>
              <w:t xml:space="preserve">p &lt; 0,001 ***</w:t>
            </w:r>
          </w:p>
        </w:tc>
      </w:tr>
    </w:tbl>
    <w:p>
      <w:pPr>
        <w:spacing w:after="100" w:before="60"/>
      </w:pPr>
      <w:r>
        <w:rPr>
          <w:rFonts w:ascii="Arial" w:cs="Arial" w:eastAsia="Arial" w:hAnsi="Arial"/>
          <w:b/>
          <w:bCs/>
          <w:sz w:val="18"/>
          <w:szCs w:val="18"/>
        </w:rPr>
        <w:t xml:space="preserve">Nota. </w:t>
      </w:r>
      <w:r>
        <w:rPr>
          <w:rFonts w:ascii="Arial" w:cs="Arial" w:eastAsia="Arial" w:hAnsi="Arial"/>
          <w:color w:val="444444"/>
          <w:sz w:val="18"/>
          <w:szCs w:val="18"/>
        </w:rPr>
        <w:t xml:space="preserve">k = respostas conformes; n = 39 chamadas por modelo. *** p &lt; 0,001, Fisher bilateral, α = 0,05.</w:t>
      </w:r>
      <w:r>
        <w:rPr>
          <w:rFonts w:ascii="Arial" w:cs="Arial" w:eastAsia="Arial" w:hAnsi="Arial"/>
          <w:sz w:val="14"/>
          <w:szCs w:val="14"/>
          <w:vertAlign w:val="superscript"/>
        </w:rPr>
        <w:t xml:space="preserve"> a </w:t>
      </w:r>
      <w:r>
        <w:rPr>
          <w:rFonts w:ascii="Arial" w:cs="Arial" w:eastAsia="Arial" w:hAnsi="Arial"/>
          <w:color w:val="555555"/>
          <w:sz w:val="17"/>
          <w:szCs w:val="17"/>
        </w:rPr>
        <w:t xml:space="preserve">Quando uma célula da tabela de contingência é zero, a razão de chances (OR) não é estimável de forma finita. O p-valor reportado deriva da distribuição hipergeométrica exata, que permanece plenamente válida nesse cenário (Fisher, 1935).</w:t>
      </w:r>
    </w:p>
    <w:p>
      <w:pPr>
        <w:spacing w:after="80" w:before="80" w:line="276"/>
        <w:ind w:firstLine="720"/>
        <w:jc w:val="both"/>
      </w:pPr>
      <w:r>
        <w:rPr>
          <w:rFonts w:ascii="Arial" w:cs="Arial" w:eastAsia="Arial" w:hAnsi="Arial"/>
          <w:sz w:val="22"/>
          <w:szCs w:val="22"/>
        </w:rPr>
        <w:t xml:space="preserve">A distribuição é claramente bimodal: cinco modelos exibem aderência integral ou quase integral (97,4-100,0%; IC 95%: [86,8%; 100,0%]), ao passo que três modelos colapsam por completo (0,0%; IC 95%: [0,0%; 9,0%]), sem instâncias intermediárias. O teste exato de Fisher confirma que a diferença de conformidade entre o qwen2.5:3b-instruct e cada um dos modelos de divergência total é altamente significativa (OR = ∞; p &lt; 0,001), afastando hipóteses de equivalência.</w:t>
      </w:r>
    </w:p>
    <w:p>
      <w:pPr>
        <w:spacing w:after="80" w:before="80" w:line="276"/>
        <w:ind w:firstLine="720"/>
        <w:jc w:val="both"/>
      </w:pPr>
      <w:r>
        <w:rPr>
          <w:rFonts w:ascii="Arial" w:cs="Arial" w:eastAsia="Arial" w:hAnsi="Arial"/>
          <w:sz w:val="22"/>
          <w:szCs w:val="22"/>
        </w:rPr>
        <w:t xml:space="preserve">Cumpre notar que a comparação entre o qwen2.5:3b-instruct e o qwen2.5:1.5b-instruct, separados por apenas uma divergência em 39 chamadas, resulta em p = 1,000 (n.s.), indicando que os dois modelos da família Qwen são estatisticamente indistinguíveis em conformidade estrutural. A diferenciação entre eles, quando pertinente, deve apoiar-se em critérios de eficiência ou custo de memória, não de conformidade.</w:t>
      </w:r>
    </w:p>
    <w:p>
      <w:pPr>
        <w:pStyle w:val="Heading2"/>
        <w:spacing w:after="120" w:before="320"/>
      </w:pPr>
      <w:r>
        <w:rPr>
          <w:rFonts w:ascii="Arial" w:cs="Arial" w:eastAsia="Arial" w:hAnsi="Arial"/>
          <w:b/>
          <w:bCs/>
          <w:color w:val="1F4E79"/>
          <w:sz w:val="24"/>
          <w:szCs w:val="24"/>
        </w:rPr>
        <w:t xml:space="preserve">5.1 A Falha de Família da Linha Llama 3.2</w:t>
      </w:r>
    </w:p>
    <w:p>
      <w:pPr>
        <w:spacing w:after="80" w:before="80" w:line="276"/>
        <w:ind w:firstLine="720"/>
        <w:jc w:val="both"/>
      </w:pPr>
      <w:r>
        <w:rPr>
          <w:rFonts w:ascii="Arial" w:cs="Arial" w:eastAsia="Arial" w:hAnsi="Arial"/>
          <w:sz w:val="22"/>
          <w:szCs w:val="22"/>
        </w:rPr>
        <w:t xml:space="preserve">A inspeção qualitativa das saídas das duas variantes Llama 3.2 (1B e 3B) revela padrão de falha rigorosamente idêntico: o JSON emitido é, em todas as 78 chamadas, sintaticamente válido e parseável; a divergência manifesta-se exclusivamente como violação tipológica do campo pontos_fortes, retornado consistentemente como array de strings em lugar do tipo string monolítica especificado. A perfeita simetria entre os dois tamanhos da família, em paralelo à conformidade total da família Qwen 2.5 nos tamanhos análogos e sob prompt idêntico, afasta hipóteses de capacidade insuficiente ou estocasticidade.</w:t>
      </w:r>
    </w:p>
    <w:p>
      <w:pPr>
        <w:spacing w:after="80" w:before="80" w:line="276"/>
        <w:ind w:firstLine="720"/>
        <w:jc w:val="both"/>
      </w:pPr>
      <w:r>
        <w:rPr>
          <w:rFonts w:ascii="Arial" w:cs="Arial" w:eastAsia="Arial" w:hAnsi="Arial"/>
          <w:sz w:val="22"/>
          <w:szCs w:val="22"/>
        </w:rPr>
        <w:t xml:space="preserve">Esse padrão encontra interpretação coerente à luz da literatura sobre viés de formatação em modelos pós-treinados por preferência (Zheng et al., 2023; Wu &amp; Aji, 2023). Liu et al. (2025), no quadro do framework GuideEval, demonstram que falhas na fase de Orquestração tipicamente se manifestam como rigidez frente à instrução de formato, com o modelo recolhendo-se a padrões de saída fortemente entrenched no pós-treinamento. O presente estudo contribui à literatura evidenciando que esse viés é resistente à contra-especificação explícita em linguagem natural sob regime zero-shot, com o atrator de enumeração prevalecendo em 100% das 78 chamadas, e que constitui assinatura arquitetural consistente entre escalas de uma mesma família.</w:t>
      </w:r>
    </w:p>
    <w:p>
      <w:pPr>
        <w:pStyle w:val="Heading2"/>
        <w:spacing w:after="120" w:before="320"/>
      </w:pPr>
      <w:r>
        <w:rPr>
          <w:rFonts w:ascii="Arial" w:cs="Arial" w:eastAsia="Arial" w:hAnsi="Arial"/>
          <w:b/>
          <w:bCs/>
          <w:color w:val="1F4E79"/>
          <w:sz w:val="24"/>
          <w:szCs w:val="24"/>
        </w:rPr>
        <w:t xml:space="preserve">5.2 O Colapso Multidimensional do Phi-3 Mini</w:t>
      </w:r>
    </w:p>
    <w:p>
      <w:pPr>
        <w:spacing w:after="80" w:before="80" w:line="276"/>
        <w:ind w:firstLine="720"/>
        <w:jc w:val="both"/>
      </w:pPr>
      <w:r>
        <w:rPr>
          <w:rFonts w:ascii="Arial" w:cs="Arial" w:eastAsia="Arial" w:hAnsi="Arial"/>
          <w:sz w:val="22"/>
          <w:szCs w:val="22"/>
        </w:rPr>
        <w:t xml:space="preserve">A falha do phi3:mini é qualitativamente distinta e mais severa. O modelo não apenas viola tipologicamente o campo pontos_fortes, emitido em 100% das chamadas como array, como também substitui inteiramente o schema declarado por estrutura própria construída em torno dos campos não solicitados erro, correção, texto_original e texto_proposto. Em adicional, 20,5% das chamadas apresentam perguntas_reflexivas como NoneType ou compostas por elementos não-string aninhados.</w:t>
      </w:r>
    </w:p>
    <w:p>
      <w:pPr>
        <w:spacing w:after="80" w:before="80" w:line="276"/>
        <w:ind w:firstLine="720"/>
        <w:jc w:val="both"/>
      </w:pPr>
      <w:r>
        <w:rPr>
          <w:rFonts w:ascii="Arial" w:cs="Arial" w:eastAsia="Arial" w:hAnsi="Arial"/>
          <w:sz w:val="22"/>
          <w:szCs w:val="22"/>
        </w:rPr>
        <w:t xml:space="preserve">Mais grave, contudo, é a inversão pedagógica do prompt: o modelo assume postura corretiva-prescritivista em flagrante violação à diretriz de valorização das variedades linguísticas e marcas de oralidade, classificando o coloquialismo legítimo "tava" como erro a ser corrigido e alucinando regra gramatical inexistente ao prescrever "lera" em substituição ao correto "leu". A combinação de colapso estrutural, inversão pedagógica, instabilidade temporal e verbosidade quádrupla configura caso testemunhal do limite de transferibilidade de SLMs anglocêntricos para tarefas educacionais em Língua Portuguesa.</w:t>
      </w:r>
    </w:p>
    <w:p>
      <w:pPr>
        <w:pStyle w:val="Heading2"/>
        <w:spacing w:after="120" w:before="320"/>
      </w:pPr>
      <w:r>
        <w:rPr>
          <w:rFonts w:ascii="Arial" w:cs="Arial" w:eastAsia="Arial" w:hAnsi="Arial"/>
          <w:b/>
          <w:bCs/>
          <w:color w:val="1F4E79"/>
          <w:sz w:val="24"/>
          <w:szCs w:val="24"/>
        </w:rPr>
        <w:t xml:space="preserve">5.3 Análise de Robustez por Contra-Experimento Controlado (Llama 3.2)</w:t>
      </w:r>
    </w:p>
    <w:p>
      <w:pPr>
        <w:spacing w:after="80" w:before="80" w:line="276"/>
        <w:ind w:firstLine="720"/>
        <w:jc w:val="both"/>
      </w:pPr>
      <w:r>
        <w:rPr>
          <w:rFonts w:ascii="Arial" w:cs="Arial" w:eastAsia="Arial" w:hAnsi="Arial"/>
          <w:sz w:val="22"/>
          <w:szCs w:val="22"/>
        </w:rPr>
        <w:t xml:space="preserve">A Tabela 3 sintetiza os desfechos do protocolo de falsificação, acrescida dos intervalos de confiança de Wilson e dos resultados do teste exato de Fisher para cada isolamento em comparação com a linha-base zero-shot.</w:t>
      </w:r>
    </w:p>
    <w:p>
      <w:pPr>
        <w:spacing w:after="60" w:before="120"/>
      </w:pPr>
      <w:r>
        <w:rPr>
          <w:rFonts w:ascii="Arial" w:cs="Arial" w:eastAsia="Arial" w:hAnsi="Arial"/>
          <w:b/>
          <w:bCs/>
          <w:sz w:val="20"/>
          <w:szCs w:val="20"/>
        </w:rPr>
        <w:t xml:space="preserve">Tabela 3. Conformidade estrutural da família Llama 3.2 sob isolamentos de falsificação.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60"/>
        <w:gridCol w:w="2800"/>
      </w:tblGrid>
      <w:tr>
        <w:trPr>
          <w:tblHeader/>
        </w:trPr>
        <w:tc>
          <w:tcPr>
            <w:tcW w:type="dxa" w:w="26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Isolamento</w:t>
            </w:r>
          </w:p>
        </w:tc>
        <w:tc>
          <w:tcPr>
            <w:tcW w:type="dxa" w:w="13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Llama 3.2 1B</w:t>
            </w:r>
          </w:p>
        </w:tc>
        <w:tc>
          <w:tcPr>
            <w:tcW w:type="dxa" w:w="13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Llama 3.2 3B</w:t>
            </w:r>
          </w:p>
        </w:tc>
        <w:tc>
          <w:tcPr>
            <w:tcW w:type="dxa" w:w="136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IC 95% Wilson (3B)</w:t>
            </w:r>
          </w:p>
        </w:tc>
        <w:tc>
          <w:tcPr>
            <w:tcW w:type="dxa" w:w="28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Fisher vs. linha-base</w:t>
            </w:r>
          </w:p>
        </w:tc>
      </w:tr>
      <w:tr>
        <w:tc>
          <w:tcPr>
            <w:tcW w:type="dxa" w:w="2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Linha-base (zero-shot, t=0.2)</w:t>
            </w:r>
          </w:p>
        </w:tc>
        <w:tc>
          <w:tcPr>
            <w:tcW w:type="dxa" w:w="13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0/39 (0,0 %)</w:t>
            </w:r>
          </w:p>
        </w:tc>
        <w:tc>
          <w:tcPr>
            <w:tcW w:type="dxa" w:w="13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0/39 (0,0 %)</w:t>
            </w:r>
          </w:p>
        </w:tc>
        <w:tc>
          <w:tcPr>
            <w:tcW w:type="dxa" w:w="13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[0,0 %; 9,0 %]</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r>
      <w:tr>
        <w:tc>
          <w:tcPr>
            <w:tcW w:type="dxa" w:w="260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E1 (zero-shot, t=0.0)</w:t>
            </w:r>
          </w:p>
        </w:tc>
        <w:tc>
          <w:tcPr>
            <w:tcW w:type="dxa" w:w="130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0/13 (0,0 %)</w:t>
            </w:r>
          </w:p>
        </w:tc>
        <w:tc>
          <w:tcPr>
            <w:tcW w:type="dxa" w:w="130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0/13 (0,0 %)</w:t>
            </w:r>
          </w:p>
        </w:tc>
        <w:tc>
          <w:tcPr>
            <w:tcW w:type="dxa" w:w="136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[0,0 %; 24,7 %]</w:t>
            </w:r>
          </w:p>
        </w:tc>
        <w:tc>
          <w:tcPr>
            <w:tcW w:type="dxa" w:w="280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p = 1,000 n.s.</w:t>
            </w:r>
          </w:p>
        </w:tc>
      </w:tr>
      <w:tr>
        <w:tc>
          <w:tcPr>
            <w:tcW w:type="dxa" w:w="2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E2 (one-shot, t=0.2)</w:t>
            </w:r>
          </w:p>
        </w:tc>
        <w:tc>
          <w:tcPr>
            <w:tcW w:type="dxa" w:w="13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11/12 (91,7 %)¹</w:t>
            </w:r>
          </w:p>
        </w:tc>
        <w:tc>
          <w:tcPr>
            <w:tcW w:type="dxa" w:w="13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12/12 (100,0 %)</w:t>
            </w:r>
          </w:p>
        </w:tc>
        <w:tc>
          <w:tcPr>
            <w:tcW w:type="dxa" w:w="13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[73,5 %; 100,0 %]</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bCs/>
                <w:color w:val="C00000"/>
                <w:sz w:val="18"/>
                <w:szCs w:val="18"/>
              </w:rPr>
              <w:t xml:space="preserve">p &lt; 0,001 ***</w:t>
            </w:r>
          </w:p>
        </w:tc>
      </w:tr>
      <w:tr>
        <w:tc>
          <w:tcPr>
            <w:tcW w:type="dxa" w:w="260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E2b (one-shot, t=0.0)</w:t>
            </w:r>
          </w:p>
        </w:tc>
        <w:tc>
          <w:tcPr>
            <w:tcW w:type="dxa" w:w="130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9/12 (75,0 %)²</w:t>
            </w:r>
          </w:p>
        </w:tc>
        <w:tc>
          <w:tcPr>
            <w:tcW w:type="dxa" w:w="130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12/12 (100,0 %)</w:t>
            </w:r>
          </w:p>
        </w:tc>
        <w:tc>
          <w:tcPr>
            <w:tcW w:type="dxa" w:w="136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[73,5 %; 100,0 %]</w:t>
            </w:r>
          </w:p>
        </w:tc>
        <w:tc>
          <w:tcPr>
            <w:tcW w:type="dxa" w:w="280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center"/>
            </w:pPr>
            <w:r>
              <w:rPr>
                <w:rFonts w:ascii="Arial" w:cs="Arial" w:eastAsia="Arial" w:hAnsi="Arial"/>
                <w:b/>
                <w:bCs/>
                <w:color w:val="C00000"/>
                <w:sz w:val="18"/>
                <w:szCs w:val="18"/>
              </w:rPr>
              <w:t xml:space="preserve">p &lt; 0,001 ***</w:t>
            </w:r>
          </w:p>
        </w:tc>
      </w:tr>
      <w:tr>
        <w:tc>
          <w:tcPr>
            <w:tcW w:type="dxa" w:w="2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E3 (curl, zero-shot)</w:t>
            </w:r>
          </w:p>
        </w:tc>
        <w:tc>
          <w:tcPr>
            <w:tcW w:type="dxa" w:w="13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falha reprod.</w:t>
            </w:r>
          </w:p>
        </w:tc>
        <w:tc>
          <w:tcPr>
            <w:tcW w:type="dxa" w:w="13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falha reprod.</w:t>
            </w:r>
          </w:p>
        </w:tc>
        <w:tc>
          <w:tcPr>
            <w:tcW w:type="dxa" w:w="13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r>
    </w:tbl>
    <w:p>
      <w:pPr>
        <w:spacing w:after="100" w:before="60"/>
      </w:pPr>
      <w:r>
        <w:rPr>
          <w:rFonts w:ascii="Arial" w:cs="Arial" w:eastAsia="Arial" w:hAnsi="Arial"/>
          <w:b/>
          <w:bCs/>
          <w:sz w:val="18"/>
          <w:szCs w:val="18"/>
        </w:rPr>
        <w:t xml:space="preserve">Nota. </w:t>
      </w:r>
      <w:r>
        <w:rPr>
          <w:rFonts w:ascii="Arial" w:cs="Arial" w:eastAsia="Arial" w:hAnsi="Arial"/>
          <w:color w:val="555555"/>
          <w:sz w:val="18"/>
          <w:szCs w:val="18"/>
        </w:rPr>
        <w:t xml:space="preserve">¹ A não-conformidade do 1B em E2 decorre de timeout HTTP, não de violação estrutural da resposta retornada. ² Idem para 3/12 do 1B em E2b. *** p &lt; 0,001.</w:t>
      </w:r>
    </w:p>
    <w:p>
      <w:pPr>
        <w:spacing w:after="80" w:before="80" w:line="276"/>
        <w:ind w:firstLine="720"/>
        <w:jc w:val="both"/>
      </w:pPr>
      <w:r>
        <w:rPr>
          <w:rFonts w:ascii="Arial" w:cs="Arial" w:eastAsia="Arial" w:hAnsi="Arial"/>
          <w:sz w:val="22"/>
          <w:szCs w:val="22"/>
        </w:rPr>
        <w:t xml:space="preserve">A leitura conjunta dos isolamentos sustenta três conclusões falsificacionistas. Primeira: o viés é determinístico, não estocástico. Em E1, a supressão integral da variabilidade amostral por temperature = 0.0 não produz nenhuma conformidade; o Fisher confirma p = 1,000 (n.s.) contra a linha-base, ou seja, zerar a temperatura não altera o desfecho. Hipóteses que atribuíssem a divergência a ruído de amostragem são, portanto, falsificadas.</w:t>
      </w:r>
    </w:p>
    <w:p>
      <w:pPr>
        <w:spacing w:after="80" w:before="80" w:line="276"/>
        <w:ind w:firstLine="720"/>
        <w:jc w:val="both"/>
      </w:pPr>
      <w:r>
        <w:rPr>
          <w:rFonts w:ascii="Arial" w:cs="Arial" w:eastAsia="Arial" w:hAnsi="Arial"/>
          <w:sz w:val="22"/>
          <w:szCs w:val="22"/>
        </w:rPr>
        <w:t xml:space="preserve">Segunda: o viés está no modelo, não na pilha cliente. Em E3, a transmissão via curl reproduz integralmente o padrão de divergência tipológica. Hipóteses que atribuíssem a divergência a interferência da camada Python são, portanto, falsificadas.</w:t>
      </w:r>
    </w:p>
    <w:p>
      <w:pPr>
        <w:spacing w:after="80" w:before="80" w:line="276"/>
        <w:ind w:firstLine="720"/>
        <w:jc w:val="both"/>
      </w:pPr>
      <w:r>
        <w:rPr>
          <w:rFonts w:ascii="Arial" w:cs="Arial" w:eastAsia="Arial" w:hAnsi="Arial"/>
          <w:sz w:val="22"/>
          <w:szCs w:val="22"/>
        </w:rPr>
        <w:t xml:space="preserve">Terceira: o viés é de obediência zero-shot, não de incapacidade composicional. Em E2, a precedência de um único par user/assistant exibindo a resposta-ouro produz reversão total: o modelo 3B alcança 12/12 e o 1B alcança 11/12 de conformidade. O Fisher confirma p &lt; 0,001 (***) para ambos, evidenciando que a reversão não é aleatória. A comparação entre o regime zero-shot (0/39 conformes) e o regime one-shot (E2: 11-12/12 conformes) é estatisticamente significativa pelo teste exato de Fisher (OR = ∞; p &lt; 0,001), corroborando a conclusão de que a capacidade composicional dos modelos Llama 3.2 está intacta e que o que está comprometido é exclusivamente a obediência à especificação quando fornecida sem demonstração contextual.</w:t>
      </w:r>
    </w:p>
    <w:p>
      <w:pPr>
        <w:pStyle w:val="Heading1"/>
        <w:spacing w:after="120" w:before="320"/>
      </w:pPr>
      <w:r>
        <w:rPr>
          <w:rFonts w:ascii="Arial" w:cs="Arial" w:eastAsia="Arial" w:hAnsi="Arial"/>
          <w:b/>
          <w:bCs/>
          <w:color w:val="1F4E79"/>
          <w:sz w:val="28"/>
          <w:szCs w:val="28"/>
        </w:rPr>
        <w:t xml:space="preserve">6. Análise Qualitativa: Aderência Pedagógica do Modelo Conforme</w:t>
      </w:r>
    </w:p>
    <w:p>
      <w:pPr>
        <w:spacing w:after="80" w:before="80" w:line="276"/>
        <w:ind w:firstLine="720"/>
        <w:jc w:val="both"/>
      </w:pPr>
      <w:r>
        <w:rPr>
          <w:rFonts w:ascii="Arial" w:cs="Arial" w:eastAsia="Arial" w:hAnsi="Arial"/>
          <w:sz w:val="22"/>
          <w:szCs w:val="22"/>
        </w:rPr>
        <w:t xml:space="preserve">A leitura conjunta das Seções 4 e 5 isola o qwen2.5:3b-instruct como única configuração deployável a satisfazer simultaneamente todos os requisitos não-funcionais: latência média de 2.906 ms, CV de 19,0% e aderência integral (0/39) ao contrato JSON sem coerção externa.</w:t>
      </w:r>
    </w:p>
    <w:p>
      <w:pPr>
        <w:spacing w:after="80" w:before="80" w:line="276"/>
        <w:ind w:firstLine="720"/>
        <w:jc w:val="both"/>
      </w:pPr>
      <w:r>
        <w:rPr>
          <w:rFonts w:ascii="Arial" w:cs="Arial" w:eastAsia="Arial" w:hAnsi="Arial"/>
          <w:sz w:val="22"/>
          <w:szCs w:val="22"/>
        </w:rPr>
        <w:t xml:space="preserve">Aplicando-se o critério metalinguístico às 13 respostas da primeira repetição, observa-se que apenas 6 das 13 respostas (46,2%; IC 95% Wilson: 23,2%-70,9%) mobilizam qualquer terminologia da taxonomia de coesão, incluindo pronominalização, repetição lexical, conectivo, operador argumentativo, marcador temporal e justaposição. A Tabela 4 detalha os números.</w:t>
      </w:r>
    </w:p>
    <w:p>
      <w:pPr>
        <w:spacing w:after="60" w:before="120"/>
      </w:pPr>
      <w:r>
        <w:rPr>
          <w:rFonts w:ascii="Arial" w:cs="Arial" w:eastAsia="Arial" w:hAnsi="Arial"/>
          <w:b/>
          <w:bCs/>
          <w:sz w:val="20"/>
          <w:szCs w:val="20"/>
        </w:rPr>
        <w:t xml:space="preserve">Tabela 4. Aderência metalinguística do qwen2.5:3b-instruct (IC Wilson 95%).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Métrica</w:t>
            </w:r>
          </w:p>
        </w:tc>
        <w:tc>
          <w:tcPr>
            <w:tcW w:type="dxa" w:w="468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Resultado</w:t>
            </w:r>
          </w:p>
        </w:tc>
      </w:tr>
      <w:tr>
        <w:tc>
          <w:tcPr>
            <w:tcW w:type="dxa" w:w="4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Cenários com terminologia Koch</w:t>
            </w:r>
          </w:p>
        </w:tc>
        <w:tc>
          <w:tcPr>
            <w:tcW w:type="dxa" w:w="4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6/13 (46,2 %)</w:t>
            </w:r>
          </w:p>
        </w:tc>
      </w:tr>
      <w:tr>
        <w:tc>
          <w:tcPr>
            <w:tcW w:type="dxa" w:w="468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IC 95% Wilson</w:t>
            </w:r>
          </w:p>
        </w:tc>
        <w:tc>
          <w:tcPr>
            <w:tcW w:type="dxa" w:w="468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[23,2 %; 70,9 %]</w:t>
            </w:r>
          </w:p>
        </w:tc>
      </w:tr>
      <w:tr>
        <w:tc>
          <w:tcPr>
            <w:tcW w:type="dxa" w:w="4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Limite superior do IC (pior caso otimista)</w:t>
            </w:r>
          </w:p>
        </w:tc>
        <w:tc>
          <w:tcPr>
            <w:tcW w:type="dxa" w:w="4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70,9 %: ausência em 29 % ou mais dos cenários</w:t>
            </w:r>
          </w:p>
        </w:tc>
      </w:tr>
      <w:tr>
        <w:tc>
          <w:tcPr>
            <w:tcW w:type="dxa" w:w="468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Limite inferior do IC (pior caso pessimista)</w:t>
            </w:r>
          </w:p>
        </w:tc>
        <w:tc>
          <w:tcPr>
            <w:tcW w:type="dxa" w:w="4680"/>
            <w:tcBorders>
              <w:top w:val="single" w:color="BBBBBB" w:sz="4"/>
              <w:left w:val="single" w:color="BBBBBB" w:sz="4"/>
              <w:bottom w:val="single" w:color="BBBBBB" w:sz="4"/>
              <w:right w:val="single" w:color="BBBBBB"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23,2 %: ausência em 77 % ou mais dos cenários</w:t>
            </w:r>
          </w:p>
        </w:tc>
      </w:tr>
      <w:tr>
        <w:tc>
          <w:tcPr>
            <w:tcW w:type="dxa" w:w="4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Classificação</w:t>
            </w:r>
          </w:p>
        </w:tc>
        <w:tc>
          <w:tcPr>
            <w:tcW w:type="dxa" w:w="4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Aderência parcial e instável (sustentada pelo IC)</w:t>
            </w:r>
          </w:p>
        </w:tc>
      </w:tr>
    </w:tbl>
    <w:p>
      <w:pPr>
        <w:spacing w:after="100" w:before="60"/>
      </w:pPr>
      <w:r>
        <w:rPr>
          <w:rFonts w:ascii="Arial" w:cs="Arial" w:eastAsia="Arial" w:hAnsi="Arial"/>
          <w:b/>
          <w:bCs/>
          <w:sz w:val="18"/>
          <w:szCs w:val="18"/>
        </w:rPr>
        <w:t xml:space="preserve">Nota. </w:t>
      </w:r>
      <w:r>
        <w:rPr>
          <w:rFonts w:ascii="Arial" w:cs="Arial" w:eastAsia="Arial" w:hAnsi="Arial"/>
          <w:color w:val="555555"/>
          <w:sz w:val="18"/>
          <w:szCs w:val="18"/>
        </w:rPr>
        <w:t xml:space="preserve">A amplitude do IC (23,2%-70,9%) reflete o n reduzido de cenários (13) e constitui limitação reconhecida desta análise; note-se, contudo, que mesmo o limite superior do intervalo implica ausência de terminologia metalinguística em ao menos 29% dos cenários, preservando a caracterização de aderência parcial e instável adotada neste estudo.</w:t>
      </w:r>
    </w:p>
    <w:p>
      <w:pPr>
        <w:spacing w:after="80" w:before="80" w:line="276"/>
        <w:ind w:firstLine="720"/>
        <w:jc w:val="both"/>
      </w:pPr>
      <w:r>
        <w:rPr>
          <w:rFonts w:ascii="Arial" w:cs="Arial" w:eastAsia="Arial" w:hAnsi="Arial"/>
          <w:sz w:val="22"/>
          <w:szCs w:val="22"/>
        </w:rPr>
        <w:t xml:space="preserve">Nos sete cenários restantes (53,8%), o modelo desloca a interlocução para o plano temático-narrativo da obra literária citada pelo aluno, comentando personagens, enredo e ambientação em lugar de avaliar a textualidade da produção. A resposta ao cenário sobre Coesão Referencial, em que o texto do aluno repete oito vezes o sintagma "a cartomante" em quatro frases consecutivas, limita-se a observar "estrutura boa, início claro e conclusão que ressalta a importância da leitura", sem qualquer menção à repetição lexical excessiva que constituía o fenômeno-alvo.</w:t>
      </w:r>
    </w:p>
    <w:p>
      <w:pPr>
        <w:spacing w:after="80" w:before="80" w:line="276"/>
        <w:ind w:firstLine="720"/>
        <w:jc w:val="both"/>
      </w:pPr>
      <w:r>
        <w:rPr>
          <w:rFonts w:ascii="Arial" w:cs="Arial" w:eastAsia="Arial" w:hAnsi="Arial"/>
          <w:sz w:val="22"/>
          <w:szCs w:val="22"/>
        </w:rPr>
        <w:t xml:space="preserve">Trata-se de falha categorial de tarefa: o modelo confunde o que o aluno escreveu com aquilo sobre o que o aluno escreveu. O framework GuideEval de Liu et al. (2025) categoriza este modo de falha como deficiência conjunta nas fases de Percepção e Elicitação, confirmando que aderência a formato e adequação pedagógica constituem dimensões logicamente independentes da competência tutorial.</w:t>
      </w:r>
    </w:p>
    <w:p>
      <w:pPr>
        <w:spacing w:after="80" w:before="80" w:line="276"/>
        <w:ind w:firstLine="720"/>
        <w:jc w:val="both"/>
      </w:pPr>
      <w:r>
        <w:rPr>
          <w:rFonts w:ascii="Arial" w:cs="Arial" w:eastAsia="Arial" w:hAnsi="Arial"/>
          <w:sz w:val="22"/>
          <w:szCs w:val="22"/>
        </w:rPr>
        <w:t xml:space="preserve">O comportamento observado encontra ainda eco no MathTutorBench de Macina et al. (2025), que documenta em domínio adjacente um trade-off sistemático entre expertise temática e competência pedagógica em modelos de prateleira. O excedente verbal do Phi-3 e a superficialidade temática do Qwen 3B são manifestações locais de um padrão sistêmico: modelos generalistas pós-treinados confundem volume de saída e domínio do conteúdo com qualidade de tutoria, em prejuízo do regime focal e dialógico que define a maiêutica socrática (Paul &amp; Elder, 2007).</w:t>
      </w:r>
    </w:p>
    <w:p>
      <w:pPr>
        <w:pStyle w:val="Heading1"/>
        <w:spacing w:after="120" w:before="320"/>
      </w:pPr>
      <w:r>
        <w:rPr>
          <w:rFonts w:ascii="Arial" w:cs="Arial" w:eastAsia="Arial" w:hAnsi="Arial"/>
          <w:b/>
          <w:bCs/>
          <w:color w:val="1F4E79"/>
          <w:sz w:val="28"/>
          <w:szCs w:val="28"/>
        </w:rPr>
        <w:t xml:space="preserve">7. Conclusão</w:t>
      </w:r>
    </w:p>
    <w:p>
      <w:pPr>
        <w:spacing w:after="80" w:before="80" w:line="276"/>
        <w:ind w:firstLine="720"/>
        <w:jc w:val="both"/>
      </w:pPr>
      <w:r>
        <w:rPr>
          <w:rFonts w:ascii="Arial" w:cs="Arial" w:eastAsia="Arial" w:hAnsi="Arial"/>
          <w:sz w:val="22"/>
          <w:szCs w:val="22"/>
        </w:rPr>
        <w:t xml:space="preserve">Este estudo conduziu avaliação diagnóstica controlada de oito Modelos de Linguagem de Pequeno Porte abertos, executados localmente sob restrições de infraestrutura compatíveis com a realidade material da escola pública brasileira, contra rubrica metalinguística derivada da taxonomia de coesão textual de Ingedore Koch. A dimensão de conformidade estrutural produziu resultado nítido: dentre os modelos da faixa deployável, apenas o Qwen 2.5 3B-Instruct combina aderência integral ao contrato JSON (IC 95%: 91,0%-100,0%), latência média confortavelmente abaixo do limiar de IHC e baixa variabilidade entre repetições, constituindo a única configuração avaliada que satisfaz simultaneamente todos os requisitos não-funcionais sem coerção gramatical externa. O teste exato de Fisher confirma que essa diferença em relação aos modelos colapsados é altamente significativa (OR = ∞; p &lt; 0,001 para todos os pares).</w:t>
      </w:r>
    </w:p>
    <w:p>
      <w:pPr>
        <w:spacing w:after="80" w:before="80" w:line="276"/>
        <w:ind w:firstLine="720"/>
        <w:jc w:val="both"/>
      </w:pPr>
      <w:r>
        <w:rPr>
          <w:rFonts w:ascii="Arial" w:cs="Arial" w:eastAsia="Arial" w:hAnsi="Arial"/>
          <w:sz w:val="22"/>
          <w:szCs w:val="22"/>
        </w:rPr>
        <w:t xml:space="preserve">A leitura desse resultado não autoriza inferência otimista quanto à adequação pedagógica do modelo. A inspeção qualitativa evidencia aderência parcial e instável à rubrica metalinguística de Koch: 46,2% de mobilização nos 13 cenários avaliados (IC 95%: 23,2%-70,9%). A amplitude do IC reflete o n reduzido de cenários; note-se, contudo, que mesmo o limite superior do intervalo (70,9%) implica ausência de terminologia metalinguística em ao menos 29% dos cenários, preservando a caracterização qualitativa de insuficiência pedagógica.</w:t>
      </w:r>
    </w:p>
    <w:p>
      <w:pPr>
        <w:spacing w:after="80" w:before="80" w:line="276"/>
        <w:ind w:firstLine="720"/>
        <w:jc w:val="both"/>
      </w:pPr>
      <w:r>
        <w:rPr>
          <w:rFonts w:ascii="Arial" w:cs="Arial" w:eastAsia="Arial" w:hAnsi="Arial"/>
          <w:sz w:val="22"/>
          <w:szCs w:val="22"/>
        </w:rPr>
        <w:t xml:space="preserve">O protocolo de falsificação, sustentado pelo Fisher Exact Test (p &lt; 0,001 para a comparação zero-shot vs. one-shot), reposiciona o achado da família Llama 3.2 com precisão acrescida: trata-se de viés de obediência zero-shot reversível, não de incapacidade composicional. A rota alternativa por prompt engineering com ancoragem demonstrativa permanece tecnicamente disponível, mas pressupõe custos de orçamento de contexto e latência que precisam ser pesados contra a economia obtida no treinamento.</w:t>
      </w:r>
    </w:p>
    <w:p>
      <w:pPr>
        <w:spacing w:after="80" w:before="80" w:line="276"/>
        <w:ind w:firstLine="720"/>
        <w:jc w:val="both"/>
      </w:pPr>
      <w:r>
        <w:rPr>
          <w:rFonts w:ascii="Arial" w:cs="Arial" w:eastAsia="Arial" w:hAnsi="Arial"/>
          <w:sz w:val="22"/>
          <w:szCs w:val="22"/>
        </w:rPr>
        <w:t xml:space="preserve">Esses achados, articulados, sustentam a conclusão central: os modelos de linguagem abertos contemporaneamente disponíveis, em sua faixa de viabilidade computacional para escolas públicas brasileiras, são insuficientes para a tarefa de tutoria socrática de redação em Língua Portuguesa fundamentada em rubrica metalinguística fina, em regime zero-shot. Tal insuficiência justifica o desenvolvimento de modelos especializados por ajuste fino supervisionado em corpora pedagógicos curados em Português do Brasil, alinhados à rubrica metalinguística específica do domínio escolar.</w:t>
      </w:r>
    </w:p>
    <w:p>
      <w:pPr>
        <w:pBdr>
          <w:bottom w:val="single" w:color="1F4E79" w:sz="6" w:space="1"/>
        </w:pBdr>
        <w:spacing w:after="160" w:before="160"/>
      </w:pPr>
    </w:p>
    <w:p>
      <w:pPr>
        <w:pStyle w:val="Heading1"/>
        <w:spacing w:after="120" w:before="320"/>
      </w:pPr>
      <w:r>
        <w:rPr>
          <w:rFonts w:ascii="Arial" w:cs="Arial" w:eastAsia="Arial" w:hAnsi="Arial"/>
          <w:b/>
          <w:bCs/>
          <w:color w:val="1F4E79"/>
          <w:sz w:val="28"/>
          <w:szCs w:val="28"/>
        </w:rPr>
        <w:t xml:space="preserve">Agradecimentos</w:t>
      </w:r>
    </w:p>
    <w:p>
      <w:pPr>
        <w:spacing w:after="80" w:before="80" w:line="276"/>
        <w:ind w:firstLine="720"/>
        <w:jc w:val="both"/>
      </w:pPr>
      <w:r>
        <w:rPr>
          <w:rFonts w:ascii="Arial" w:cs="Arial" w:eastAsia="Arial" w:hAnsi="Arial"/>
          <w:sz w:val="22"/>
          <w:szCs w:val="22"/>
        </w:rPr>
        <w:t xml:space="preserve">Os autores agradecem ao Programa de Pós-Graduação em Informática na Educação (PPGIE) da UFRGS pelo suporte institucional, e à Coordenação de Aperfeiçoamento de Pessoal de Nível Superior (CAPES) pelo financiamento das bolsas de doutorado.</w:t>
      </w:r>
    </w:p>
    <w:p>
      <w:pPr>
        <w:pBdr>
          <w:bottom w:val="single" w:color="1F4E79" w:sz="6" w:space="1"/>
        </w:pBdr>
        <w:spacing w:after="160" w:before="160"/>
      </w:pPr>
    </w:p>
    <w:p>
      <w:pPr>
        <w:pStyle w:val="Heading1"/>
        <w:spacing w:after="120" w:before="320"/>
      </w:pPr>
      <w:r>
        <w:rPr>
          <w:rFonts w:ascii="Arial" w:cs="Arial" w:eastAsia="Arial" w:hAnsi="Arial"/>
          <w:b/>
          <w:bCs/>
          <w:color w:val="1F4E79"/>
          <w:sz w:val="28"/>
          <w:szCs w:val="28"/>
        </w:rPr>
        <w:t xml:space="preserve">Referências</w:t>
      </w:r>
    </w:p>
    <w:p>
      <w:pPr>
        <w:spacing w:after="60" w:before="60" w:line="260"/>
        <w:ind w:left="720" w:hanging="720"/>
        <w:jc w:val="both"/>
      </w:pPr>
      <w:r>
        <w:rPr>
          <w:rFonts w:ascii="Arial" w:cs="Arial" w:eastAsia="Arial" w:hAnsi="Arial"/>
          <w:sz w:val="20"/>
          <w:szCs w:val="20"/>
        </w:rPr>
        <w:t xml:space="preserve">Abdin, M., Aneja, J., Awadalla, H., Awasthi, A., Awan, A., Bach, N., Bahree, A., Bakhtiari, A., Bao, J., Behl, H., et al. (2024). Phi-3 technical report: A highly capable language model locally on your phone. arXiv:2404.14219.</w:t>
      </w:r>
    </w:p>
    <w:p>
      <w:pPr>
        <w:spacing w:after="60" w:before="60" w:line="260"/>
        <w:ind w:left="720" w:hanging="720"/>
        <w:jc w:val="both"/>
      </w:pPr>
      <w:r>
        <w:rPr>
          <w:rFonts w:ascii="Arial" w:cs="Arial" w:eastAsia="Arial" w:hAnsi="Arial"/>
          <w:sz w:val="20"/>
          <w:szCs w:val="20"/>
        </w:rPr>
        <w:t xml:space="preserve">Brasil. (2018). Lei n.º 13.709, de 14 de agosto de 2018. Lei Geral de Proteção de Dados Pessoais (LGPD). Presidência da República.</w:t>
      </w:r>
    </w:p>
    <w:p>
      <w:pPr>
        <w:spacing w:after="60" w:before="60" w:line="260"/>
        <w:ind w:left="720" w:hanging="720"/>
        <w:jc w:val="both"/>
      </w:pPr>
      <w:r>
        <w:rPr>
          <w:rFonts w:ascii="Arial" w:cs="Arial" w:eastAsia="Arial" w:hAnsi="Arial"/>
          <w:sz w:val="20"/>
          <w:szCs w:val="20"/>
        </w:rPr>
        <w:t xml:space="preserve">Card, S. K., Robertson, G. G., &amp; Mackinlay, J. D. (1991). The information visualizer, an information workspace. In Proceedings of the SIGCHI Conference on Human Factors in Computing Systems (CHI '91) (pp. 181–186). ACM Press.</w:t>
      </w:r>
    </w:p>
    <w:p>
      <w:pPr>
        <w:spacing w:after="60" w:before="60" w:line="260"/>
        <w:ind w:left="720" w:hanging="720"/>
        <w:jc w:val="both"/>
      </w:pPr>
      <w:r>
        <w:rPr>
          <w:rFonts w:ascii="Arial" w:cs="Arial" w:eastAsia="Arial" w:hAnsi="Arial"/>
          <w:sz w:val="20"/>
          <w:szCs w:val="20"/>
        </w:rPr>
        <w:t xml:space="preserve">CGI.br/NIC.br/Cetic.br. (2024). Pesquisa sobre o uso das tecnologias de informação e comunicação nas escolas brasileiras: TIC Educação 2023. Comitê Gestor da Internet no Brasil.</w:t>
      </w:r>
    </w:p>
    <w:p>
      <w:pPr>
        <w:spacing w:after="60" w:before="60" w:line="260"/>
        <w:ind w:left="720" w:hanging="720"/>
        <w:jc w:val="both"/>
      </w:pPr>
      <w:r>
        <w:rPr>
          <w:rFonts w:ascii="Arial" w:cs="Arial" w:eastAsia="Arial" w:hAnsi="Arial"/>
          <w:sz w:val="20"/>
          <w:szCs w:val="20"/>
        </w:rPr>
        <w:t xml:space="preserve">Gemma Team. (2024). Gemma 2: Improving open language models at a practical size. arXiv:2408.00118.</w:t>
      </w:r>
    </w:p>
    <w:p>
      <w:pPr>
        <w:spacing w:after="60" w:before="60" w:line="260"/>
        <w:ind w:left="720" w:hanging="720"/>
        <w:jc w:val="both"/>
      </w:pPr>
      <w:r>
        <w:rPr>
          <w:rFonts w:ascii="Arial" w:cs="Arial" w:eastAsia="Arial" w:hAnsi="Arial"/>
          <w:sz w:val="20"/>
          <w:szCs w:val="20"/>
        </w:rPr>
        <w:t xml:space="preserve">Grattafiori, A., Dubey, A., Jauhri, A., Pandey, A., Kadian, A., Al-Dahle, A., Letman, A., Mathur, A., Schelten, A., Vaughan, A., et al. (2024). The Llama 3 herd of models. arXiv:2407.21783.</w:t>
      </w:r>
    </w:p>
    <w:p>
      <w:pPr>
        <w:spacing w:after="60" w:before="60" w:line="260"/>
        <w:ind w:left="720" w:hanging="720"/>
        <w:jc w:val="both"/>
      </w:pPr>
      <w:r>
        <w:rPr>
          <w:rFonts w:ascii="Arial" w:cs="Arial" w:eastAsia="Arial" w:hAnsi="Arial"/>
          <w:sz w:val="20"/>
          <w:szCs w:val="20"/>
        </w:rPr>
        <w:t xml:space="preserve">Kasneci, E., Sessler, K., Küchemann, S., Bannert, M., Dementieva, D., Fischer, F., Gasser, U., Groh, G., Günnemann, S., Hüllermeier, E., et al. (2023). ChatGPT for good? On opportunities and challenges of large language models for education. Learning and Individual Differences, 103, Article 102274. https://doi.org/10.1016/j.lindif.2023.102274</w:t>
      </w:r>
    </w:p>
    <w:p>
      <w:pPr>
        <w:spacing w:after="60" w:before="60" w:line="260"/>
        <w:ind w:left="720" w:hanging="720"/>
        <w:jc w:val="both"/>
      </w:pPr>
      <w:r>
        <w:rPr>
          <w:rFonts w:ascii="Arial" w:cs="Arial" w:eastAsia="Arial" w:hAnsi="Arial"/>
          <w:sz w:val="20"/>
          <w:szCs w:val="20"/>
        </w:rPr>
        <w:t xml:space="preserve">Koch, I. G. V. (2018). A coesão textual (22nd ed.). Contexto. (Original publicado em 1989)</w:t>
      </w:r>
    </w:p>
    <w:p>
      <w:pPr>
        <w:spacing w:after="60" w:before="60" w:line="260"/>
        <w:ind w:left="720" w:hanging="720"/>
        <w:jc w:val="both"/>
      </w:pPr>
      <w:r>
        <w:rPr>
          <w:rFonts w:ascii="Arial" w:cs="Arial" w:eastAsia="Arial" w:hAnsi="Arial"/>
          <w:sz w:val="20"/>
          <w:szCs w:val="20"/>
        </w:rPr>
        <w:t xml:space="preserve">Koch, I. G. V. (2020). Introdução à linguística textual: trajetória e grandes temas (2nd ed.). Contexto.</w:t>
      </w:r>
    </w:p>
    <w:p>
      <w:pPr>
        <w:spacing w:after="60" w:before="60" w:line="260"/>
        <w:ind w:left="720" w:hanging="720"/>
        <w:jc w:val="both"/>
      </w:pPr>
      <w:r>
        <w:rPr>
          <w:rFonts w:ascii="Arial" w:cs="Arial" w:eastAsia="Arial" w:hAnsi="Arial"/>
          <w:sz w:val="20"/>
          <w:szCs w:val="20"/>
        </w:rPr>
        <w:t xml:space="preserve">Koch, I. G. V., &amp; Elias, V. M. (2016). Escrever e argumentar. Contexto.</w:t>
      </w:r>
    </w:p>
    <w:p>
      <w:pPr>
        <w:spacing w:after="60" w:before="60" w:line="260"/>
        <w:ind w:left="720" w:hanging="720"/>
        <w:jc w:val="both"/>
      </w:pPr>
      <w:r>
        <w:rPr>
          <w:rFonts w:ascii="Arial" w:cs="Arial" w:eastAsia="Arial" w:hAnsi="Arial"/>
          <w:sz w:val="20"/>
          <w:szCs w:val="20"/>
        </w:rPr>
        <w:t xml:space="preserve">Liu, Y., Li, C., Zhang, T., Wang, M., Zhu, Q., Li, J., &amp; Huang, H. (2025). Discerning minds or generic tutors? Evaluating instructional guidance capabilities in Socratic LLMs. arXiv:2508.06583.</w:t>
      </w:r>
    </w:p>
    <w:p>
      <w:pPr>
        <w:spacing w:after="60" w:before="60" w:line="260"/>
        <w:ind w:left="720" w:hanging="720"/>
        <w:jc w:val="both"/>
      </w:pPr>
      <w:r>
        <w:rPr>
          <w:rFonts w:ascii="Arial" w:cs="Arial" w:eastAsia="Arial" w:hAnsi="Arial"/>
          <w:sz w:val="20"/>
          <w:szCs w:val="20"/>
        </w:rPr>
        <w:t xml:space="preserve">Macina, J., Daheim, N., Hakimi, I., Kapur, M., Gurevych, I., &amp; Sachan, M. (2025). MathTutorBench: A benchmark for measuring open-ended pedagogical capabilities of LLM tutors. In Proceedings of EMNLP 2025. ACL. arXiv:2502.18940.</w:t>
      </w:r>
    </w:p>
    <w:p>
      <w:pPr>
        <w:spacing w:after="60" w:before="60" w:line="260"/>
        <w:ind w:left="720" w:hanging="720"/>
        <w:jc w:val="both"/>
      </w:pPr>
      <w:r>
        <w:rPr>
          <w:rFonts w:ascii="Arial" w:cs="Arial" w:eastAsia="Arial" w:hAnsi="Arial"/>
          <w:sz w:val="20"/>
          <w:szCs w:val="20"/>
        </w:rPr>
        <w:t xml:space="preserve">Nielsen, J. (1993). Usability engineering. Morgan Kaufmann.</w:t>
      </w:r>
    </w:p>
    <w:p>
      <w:pPr>
        <w:spacing w:after="60" w:before="60" w:line="260"/>
        <w:ind w:left="720" w:hanging="720"/>
        <w:jc w:val="both"/>
      </w:pPr>
      <w:r>
        <w:rPr>
          <w:rFonts w:ascii="Arial" w:cs="Arial" w:eastAsia="Arial" w:hAnsi="Arial"/>
          <w:sz w:val="20"/>
          <w:szCs w:val="20"/>
        </w:rPr>
        <w:t xml:space="preserve">Paul, R., &amp; Elder, L. (2007). Critical thinking: The art of Socratic questioning. Journal of Developmental Education, 31(1), 36–37.</w:t>
      </w:r>
    </w:p>
    <w:p>
      <w:pPr>
        <w:spacing w:after="60" w:before="60" w:line="260"/>
        <w:ind w:left="720" w:hanging="720"/>
        <w:jc w:val="both"/>
      </w:pPr>
      <w:r>
        <w:rPr>
          <w:rFonts w:ascii="Arial" w:cs="Arial" w:eastAsia="Arial" w:hAnsi="Arial"/>
          <w:sz w:val="20"/>
          <w:szCs w:val="20"/>
        </w:rPr>
        <w:t xml:space="preserve">Tlili, A., Shehata, B., Adarkwah, M. A., Bozkurt, A., Hickey, D. T., Huang, R., &amp; Agyemang, B. (2023). What if the devil is my guardian angel: ChatGPT as a case study of using chatbots in education. Smart Learning Environments, 10(1), Article 15. https://doi.org/10.1186/s40561-023-00237-x</w:t>
      </w:r>
    </w:p>
    <w:p>
      <w:pPr>
        <w:spacing w:after="60" w:before="60" w:line="260"/>
        <w:ind w:left="720" w:hanging="720"/>
        <w:jc w:val="both"/>
      </w:pPr>
      <w:r>
        <w:rPr>
          <w:rFonts w:ascii="Arial" w:cs="Arial" w:eastAsia="Arial" w:hAnsi="Arial"/>
          <w:sz w:val="20"/>
          <w:szCs w:val="20"/>
        </w:rPr>
        <w:t xml:space="preserve">Wu, M., &amp; Aji, A. F. (2023). Style over substance: Evaluation biases for large language models. arXiv:2307.03025.</w:t>
      </w:r>
    </w:p>
    <w:p>
      <w:pPr>
        <w:spacing w:after="60" w:before="60" w:line="260"/>
        <w:ind w:left="720" w:hanging="720"/>
        <w:jc w:val="both"/>
      </w:pPr>
      <w:r>
        <w:rPr>
          <w:rFonts w:ascii="Arial" w:cs="Arial" w:eastAsia="Arial" w:hAnsi="Arial"/>
          <w:sz w:val="20"/>
          <w:szCs w:val="20"/>
        </w:rPr>
        <w:t xml:space="preserve">Yang, A., Yang, B., Hui, B., Zheng, B., Yu, B., Zhou, C., Li, C., Li, C., Liu, D., Huang, F., et al. (2024). Qwen2.5 technical report. arXiv:2412.15115.</w:t>
      </w:r>
    </w:p>
    <w:p>
      <w:pPr>
        <w:spacing w:after="60" w:before="60" w:line="260"/>
        <w:ind w:left="720" w:hanging="720"/>
        <w:jc w:val="both"/>
      </w:pPr>
      <w:r>
        <w:rPr>
          <w:rFonts w:ascii="Arial" w:cs="Arial" w:eastAsia="Arial" w:hAnsi="Arial"/>
          <w:sz w:val="20"/>
          <w:szCs w:val="20"/>
        </w:rPr>
        <w:t xml:space="preserve">Zheng, L., Chiang, W.-L., Sheng, Y., Zhuang, S., Wu, Z., Zhuang, Y., Lin, Z., Li, Z., Li, D., Xing, E. P., Zhang, H., Gonzalez, J. E., &amp; Stoica, I. (2023). Judging LLM-as-a-judge with MT-bench and Chatbot Arena. In Advances in Neural Information Processing Systems 36 (NeurIPS 2023).</w:t>
      </w:r>
    </w:p>
    <w:sectPr>
      <w:pgSz w:w="11906" w:h="16838" w:orient="portrait"/>
      <w:pgMar w:top="1418" w:right="1134" w:bottom="1418"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2026-05-26T02:03:43.858Z</dcterms:created>
  <dcterms:modified xsi:type="dcterms:W3CDTF">2026-05-26T02:03:43.859Z</dcterms:modified>
</cp:coreProperties>
</file>

<file path=docProps/custom.xml><?xml version="1.0" encoding="utf-8"?>
<Properties xmlns="http://schemas.openxmlformats.org/officeDocument/2006/custom-properties" xmlns:vt="http://schemas.openxmlformats.org/officeDocument/2006/docPropsVTypes"/>
</file>