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Codebook — codificação para o cálculo de concordância (Cohen's κ)</w:t>
      </w:r>
    </w:p>
    <w:p>
      <w:r>
        <w:t>Manual de codificação das respostas de tutoria (humanas ou de modelos) usado para estimar a confiabilidade entre codificadores e validar a métrica automática da RQ2. Responde aos quatro pontos solicitados: categorias (a), derivação teórica (b), unidade de análise (c) e avaliadores (d).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Heading2"/>
      </w:pPr>
      <w:r>
        <w:t>1. Unidade de análise (c)</w:t>
      </w:r>
    </w:p>
    <w:p>
      <w:r>
        <w:t xml:space="preserve">A unidade é a </w:t>
      </w:r>
      <w:r>
        <w:rPr>
          <w:b/>
        </w:rPr>
        <w:t>devolutiva completa de um avaliador a um cenário</w:t>
      </w:r>
      <w:r>
        <w:t xml:space="preserve"> — a resposta inteira (pontos fortes + perguntas/comentários), tomada como um todo. Não se fragmenta a resposta em sentenças ou fenômenos isolados.</w:t>
      </w:r>
    </w:p>
    <w:p>
      <w:r>
        <w:rPr>
          <w:b/>
        </w:rPr>
        <w:t>Justificativa teórica:</w:t>
      </w:r>
      <w:r>
        <w:t xml:space="preserve"> na Linguística Textual (Koch), os fatores de textualidade não operam isoladamente; a produção de sentido resulta da interação entre eles. Atomizar a devolutiva contrariaria esse pressuposto. Além disso, a devolutiva completa é a unidade real de uso na plataforma (um retorno por texto de aluno).</w:t>
      </w:r>
    </w:p>
    <w:p>
      <w:r>
        <w:t xml:space="preserve">Cada unidade recebe </w:t>
      </w:r>
      <w:r>
        <w:rPr>
          <w:b/>
        </w:rPr>
        <w:t>um código em cada uma das duas dimensões</w:t>
      </w:r>
      <w:r>
        <w:t xml:space="preserve"> abaixo. As dimensões são independentes.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Heading2"/>
      </w:pPr>
      <w:r>
        <w:t>2. Categorias analíticas (a) e sua derivação (b)</w:t>
      </w:r>
    </w:p>
    <w:p>
      <w:pPr>
        <w:pStyle w:val="Heading3"/>
      </w:pPr>
      <w:r>
        <w:t>Dimensão A — Foco do retorno  *(derivada de Koch / Linguística Textual)*</w:t>
      </w:r>
    </w:p>
    <w:p>
      <w:r>
        <w:t xml:space="preserve">O que a devolutiva toma como </w:t>
      </w:r>
      <w:r>
        <w:rPr>
          <w:b/>
        </w:rPr>
        <w:t>objeto</w:t>
      </w:r>
      <w:r>
        <w:t xml:space="preserve"> principal.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Rótulo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Definição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A1</w:t>
            </w:r>
          </w:p>
        </w:tc>
        <w:tc>
          <w:tcPr>
            <w:tcW w:type="dxa" w:w="2880"/>
          </w:tcPr>
          <w:p>
            <w:r/>
            <w:r>
              <w:t>Textual-metalinguístico</w:t>
            </w:r>
          </w:p>
        </w:tc>
        <w:tc>
          <w:tcPr>
            <w:tcW w:type="dxa" w:w="2880"/>
          </w:tcPr>
          <w:p>
            <w:r/>
            <w:r>
              <w:t xml:space="preserve">Trata um fenômeno de </w:t>
            </w:r>
            <w:r>
              <w:rPr>
                <w:b/>
              </w:rPr>
              <w:t>textualidade tal como opera no texto do aluno</w:t>
            </w:r>
            <w:r>
              <w:t xml:space="preserve">: coesão (repetição, retomada pronominal, conectivos, elipse, substituição lexical), coerência/progressão (sequência temporal ou lógica, contradição), referenciação. O texto do aluno é tratado como </w:t>
            </w:r>
            <w:r>
              <w:rPr>
                <w:b/>
              </w:rPr>
              <w:t>objeto linguístico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A2</w:t>
            </w:r>
          </w:p>
        </w:tc>
        <w:tc>
          <w:tcPr>
            <w:tcW w:type="dxa" w:w="2880"/>
          </w:tcPr>
          <w:p>
            <w:r/>
            <w:r>
              <w:t>Temático-conteudístico</w:t>
            </w:r>
          </w:p>
        </w:tc>
        <w:tc>
          <w:tcPr>
            <w:tcW w:type="dxa" w:w="2880"/>
          </w:tcPr>
          <w:p>
            <w:r/>
            <w:r>
              <w:t xml:space="preserve">Engaja com o </w:t>
            </w:r>
            <w:r>
              <w:rPr>
                <w:b/>
              </w:rPr>
              <w:t>conteúdo / a obra / o tema</w:t>
            </w:r>
            <w:r>
              <w:t>: comenta o enredo, a interpretação, acrescenta informação sobre a obra — sem tratar de como o texto está construído.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A3</w:t>
            </w:r>
          </w:p>
        </w:tc>
        <w:tc>
          <w:tcPr>
            <w:tcW w:type="dxa" w:w="2880"/>
          </w:tcPr>
          <w:p>
            <w:r/>
            <w:r>
              <w:t>Normativo-pontual</w:t>
            </w:r>
          </w:p>
        </w:tc>
        <w:tc>
          <w:tcPr>
            <w:tcW w:type="dxa" w:w="2880"/>
          </w:tcPr>
          <w:p>
            <w:r/>
            <w:r>
              <w:t xml:space="preserve">Foca em </w:t>
            </w:r>
            <w:r>
              <w:rPr>
                <w:b/>
              </w:rPr>
              <w:t>ortografia, acentuação, pontuação ou morfologia isoladas</w:t>
            </w:r>
            <w:r>
              <w:t>, na superfície, sem tratar de textualidade.</w:t>
            </w:r>
          </w:p>
        </w:tc>
      </w:tr>
    </w:tbl>
    <w:p>
      <w:r>
        <w:rPr>
          <w:i/>
        </w:rPr>
        <w:t>Derivação (b):</w:t>
      </w:r>
      <w:r>
        <w:t xml:space="preserve"> A1 operacionaliza a rubrica metalinguística de Koch no nível do fenômeno (não da mera ocorrência de um vocábulo). A separação A1/A2 é exatamente o achado da RQ2: aderência estrutural com </w:t>
      </w:r>
      <w:r>
        <w:rPr>
          <w:b/>
        </w:rPr>
        <w:t>superfície temática</w:t>
      </w:r>
      <w:r>
        <w:t xml:space="preserve"> versus tratamento metalinguístico.</w:t>
      </w:r>
    </w:p>
    <w:p>
      <w:r>
        <w:rPr>
          <w:b/>
        </w:rPr>
        <w:t>Regra de decisão:</w:t>
      </w:r>
      <w:r>
        <w:t xml:space="preserve"> classifique pelo foco </w:t>
      </w:r>
      <w:r>
        <w:rPr>
          <w:b/>
        </w:rPr>
        <w:t>predominante</w:t>
      </w:r>
      <w:r>
        <w:t xml:space="preserve"> (por extensão/peso). Empate genuíno é registrado e resolvido pela adjudicação (ver §4).</w:t>
      </w:r>
    </w:p>
    <w:p>
      <w:pPr>
        <w:pStyle w:val="Heading3"/>
      </w:pPr>
      <w:r>
        <w:t>Dimensão B — Natureza da mediação  *(derivada de Vygotsky / scaffolding)*</w:t>
      </w:r>
    </w:p>
    <w:p>
      <w:r>
        <w:rPr>
          <w:b/>
        </w:rPr>
        <w:t>Como</w:t>
      </w:r>
      <w:r>
        <w:t xml:space="preserve"> a devolutiva intervém. </w:t>
      </w:r>
      <w:r>
        <w:rPr>
          <w:b/>
        </w:rPr>
        <w:t>Agnóstica à forma</w:t>
      </w:r>
      <w:r>
        <w:t>: uma pergunta não é, por si, "melhor" que uma afirmação.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Rótulo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Definição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B1</w:t>
            </w:r>
          </w:p>
        </w:tc>
        <w:tc>
          <w:tcPr>
            <w:tcW w:type="dxa" w:w="2880"/>
          </w:tcPr>
          <w:p>
            <w:r/>
            <w:r>
              <w:t>Mediadora</w:t>
            </w:r>
          </w:p>
        </w:tc>
        <w:tc>
          <w:tcPr>
            <w:tcW w:type="dxa" w:w="2880"/>
          </w:tcPr>
          <w:p>
            <w:r/>
            <w:r>
              <w:t xml:space="preserve">Oferece </w:t>
            </w:r>
            <w:r>
              <w:rPr>
                <w:b/>
              </w:rPr>
              <w:t>apoio orientado ao avanço do aluno</w:t>
            </w:r>
            <w:r>
              <w:t xml:space="preserve">: pergunta que leva à descoberta, pista, modelagem de estratégia, explicitação de um padrão/convenção, orientação de gênero ou de norma. </w:t>
            </w:r>
            <w:r>
              <w:rPr>
                <w:b/>
              </w:rPr>
              <w:t>Inclui</w:t>
            </w:r>
            <w:r>
              <w:t xml:space="preserve"> instrução direta quando ela apoia o desenvolvimento (ex.: </w:t>
            </w:r>
            <w:r>
              <w:rPr>
                <w:i/>
              </w:rPr>
              <w:t>"em textos formais costuma-se evitar repetir o nome usando pronomes — veja onde isso caberia no seu texto"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B2</w:t>
            </w:r>
          </w:p>
        </w:tc>
        <w:tc>
          <w:tcPr>
            <w:tcW w:type="dxa" w:w="2880"/>
          </w:tcPr>
          <w:p>
            <w:r/>
            <w:r>
              <w:t>Avaliativa-terminal</w:t>
            </w:r>
          </w:p>
        </w:tc>
        <w:tc>
          <w:tcPr>
            <w:tcW w:type="dxa" w:w="2880"/>
          </w:tcPr>
          <w:p>
            <w:r/>
            <w:r>
              <w:t xml:space="preserve">Apenas </w:t>
            </w:r>
            <w:r>
              <w:rPr>
                <w:b/>
              </w:rPr>
              <w:t>julga</w:t>
            </w:r>
            <w:r>
              <w:t xml:space="preserve"> ou </w:t>
            </w:r>
            <w:r>
              <w:rPr>
                <w:b/>
              </w:rPr>
              <w:t>entrega a correção pronta</w:t>
            </w:r>
            <w:r>
              <w:t xml:space="preserve">, sem habilitar o aluno a avançar (ex.: </w:t>
            </w:r>
            <w:r>
              <w:rPr>
                <w:i/>
              </w:rPr>
              <w:t>"está repetitivo"</w:t>
            </w:r>
            <w:r>
              <w:t xml:space="preserve">, </w:t>
            </w:r>
            <w:r>
              <w:rPr>
                <w:i/>
              </w:rPr>
              <w:t>"troque X por Y"</w:t>
            </w:r>
            <w:r>
              <w:t xml:space="preserve">, </w:t>
            </w:r>
            <w:r>
              <w:rPr>
                <w:i/>
              </w:rPr>
              <w:t>"seu texto está bom"</w:t>
            </w:r>
            <w:r>
              <w:t>). Veredito ou solução fechada, sem andaime.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B3</w:t>
            </w:r>
          </w:p>
        </w:tc>
        <w:tc>
          <w:tcPr>
            <w:tcW w:type="dxa" w:w="2880"/>
          </w:tcPr>
          <w:p>
            <w:r/>
            <w:r>
              <w:t>Ausente</w:t>
            </w:r>
          </w:p>
        </w:tc>
        <w:tc>
          <w:tcPr>
            <w:tcW w:type="dxa" w:w="2880"/>
          </w:tcPr>
          <w:p>
            <w:r/>
            <w:r>
              <w:t>Não há intervenção pedagógica acionável: só reformula/elogia genericamente, não aponta caminho, ou foge da tarefa.</w:t>
            </w:r>
          </w:p>
        </w:tc>
      </w:tr>
    </w:tbl>
    <w:p>
      <w:r>
        <w:rPr>
          <w:i/>
        </w:rPr>
        <w:t>Derivação (b):</w:t>
      </w:r>
      <w:r>
        <w:t xml:space="preserve"> o critério vygotskiano é a contribuição para o avanço na Zona de Desenvolvimento Proximal, </w:t>
      </w:r>
      <w:r>
        <w:rPr>
          <w:b/>
        </w:rPr>
        <w:t>não a forma</w:t>
      </w:r>
      <w:r>
        <w:t xml:space="preserve"> da intervenção. Por isso B1 abarca pergunta </w:t>
      </w:r>
      <w:r>
        <w:rPr>
          <w:i/>
        </w:rPr>
        <w:t>e</w:t>
      </w:r>
      <w:r>
        <w:t xml:space="preserve"> instrução direta; e uma pergunta vazia/retórica pode ser B3.</w:t>
      </w:r>
    </w:p>
    <w:p>
      <w:r>
        <w:rPr>
          <w:b/>
        </w:rPr>
        <w:t>Regra de decisão:</w:t>
      </w:r>
      <w:r>
        <w:t xml:space="preserve"> classifique pela </w:t>
      </w:r>
      <w:r>
        <w:rPr>
          <w:b/>
        </w:rPr>
        <w:t>função predominante</w:t>
      </w:r>
      <w:r>
        <w:t xml:space="preserve"> da resposta inteira. Não conte "tem pergunta logo é B1": avalie se a intervenção habilita o avanço.</w:t>
      </w:r>
    </w:p>
    <w:p>
      <w:pPr>
        <w:spacing w:before="80" w:after="80"/>
        <w:ind w:left="432"/>
        <w:pBdr>
          <w:left w:val="single" w:sz="18" w:space="8" w:color="999999"/>
        </w:pBdr>
      </w:pPr>
      <w:r>
        <w:rPr>
          <w:i/>
          <w:color w:val="444444"/>
        </w:rPr>
        <w:t>**Independência das dimensões (intencional):** uma resposta pode ser A1+B2 (fala de coesão mas só entrega a correção) ou A2+B1 (medeia bem, mas sobre o conteúdo, não a textualidade). É essa independência que separa *aderência de formato* de *adequação pedagógica*.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Heading2"/>
      </w:pPr>
      <w:r>
        <w:t>3. Métrica automática como proxy (limite da heurística)</w:t>
      </w:r>
    </w:p>
    <w:p>
      <w:r>
        <w:t xml:space="preserve">O </w:t>
      </w:r>
      <w:r>
        <w:rPr>
          <w:i/>
        </w:rPr>
        <w:t>scorer</w:t>
      </w:r>
      <w:r>
        <w:t xml:space="preserve"> automático (</w:t>
      </w:r>
      <w:r>
        <w:rPr>
          <w:rFonts w:ascii="Courier New" w:hAnsi="Courier New"/>
          <w:sz w:val="20"/>
        </w:rPr>
        <w:t>src/metalinguistic_adherence.py</w:t>
      </w:r>
      <w:r>
        <w:t xml:space="preserve">) detecta apenas a presença de termos da taxonomia de Koch. Ele é, portanto, um </w:t>
      </w:r>
      <w:r>
        <w:rPr>
          <w:b/>
        </w:rPr>
        <w:t>proxy de triagem somente da Dimensão A</w:t>
      </w:r>
      <w:r>
        <w:t xml:space="preserve"> (aproximadamente A1 vs. não-A1) e </w:t>
      </w:r>
      <w:r>
        <w:rPr>
          <w:b/>
        </w:rPr>
        <w:t>não diz nada sobre a Dimensão B</w:t>
      </w:r>
      <w:r>
        <w:t>. Isso é declarado explicitamente no paper.</w:t>
      </w:r>
    </w:p>
    <w:p>
      <w:pPr>
        <w:spacing w:before="40" w:after="160"/>
        <w:pBdr>
          <w:bottom w:val="single" w:sz="6" w:space="1" w:color="BBBBBB"/>
        </w:pBdr>
      </w:pPr>
    </w:p>
    <w:p>
      <w:pPr>
        <w:pStyle w:val="Heading2"/>
      </w:pPr>
      <w:r>
        <w:t>4. Avaliadores e procedimento (d)</w:t>
      </w:r>
    </w:p>
    <w:p>
      <w:pPr>
        <w:pStyle w:val="ListBullet"/>
      </w:pPr>
      <w:r>
        <w:rPr>
          <w:b/>
        </w:rPr>
        <w:t>Dois codificadores humanos</w:t>
      </w:r>
      <w:r>
        <w:t xml:space="preserve"> especialistas em Língua Portuguesa (EFII),</w:t>
      </w:r>
    </w:p>
    <w:p>
      <w:r>
        <w:rPr>
          <w:b/>
        </w:rPr>
        <w:t>independentes</w:t>
      </w:r>
      <w:r>
        <w:t xml:space="preserve"> e </w:t>
      </w:r>
      <w:r>
        <w:rPr>
          <w:b/>
        </w:rPr>
        <w:t>cegos</w:t>
      </w:r>
      <w:r>
        <w:t xml:space="preserve"> quanto à origem de cada resposta (humana ou qual modelo) e quanto à codificação um do outro.</w:t>
      </w:r>
    </w:p>
    <w:p>
      <w:pPr>
        <w:pStyle w:val="ListBullet"/>
      </w:pPr>
      <w:r>
        <w:t xml:space="preserve">Ambos aplicam </w:t>
      </w:r>
      <w:r>
        <w:rPr>
          <w:b/>
        </w:rPr>
        <w:t>este codebook</w:t>
      </w:r>
      <w:r>
        <w:t xml:space="preserve"> às mesmas unidades.</w:t>
      </w:r>
    </w:p>
    <w:p>
      <w:pPr>
        <w:pStyle w:val="ListBullet"/>
      </w:pPr>
      <w:r>
        <w:t xml:space="preserve">A </w:t>
      </w:r>
      <w:r>
        <w:rPr>
          <w:b/>
        </w:rPr>
        <w:t>especialista que elaborou os cenários</w:t>
      </w:r>
      <w:r>
        <w:t xml:space="preserve"> atua como </w:t>
      </w:r>
      <w:r>
        <w:rPr>
          <w:b/>
        </w:rPr>
        <w:t>adjudicadora</w:t>
      </w:r>
      <w:r>
        <w:t xml:space="preserve"> (terceira</w:t>
      </w:r>
    </w:p>
    <w:p>
      <w:r>
        <w:t xml:space="preserve">decisão) em caso de divergência — </w:t>
      </w:r>
      <w:r>
        <w:rPr>
          <w:b/>
        </w:rPr>
        <w:t>não</w:t>
      </w:r>
      <w:r>
        <w:t xml:space="preserve"> como um dos dois codificadores primários, para evitar circularidade.</w:t>
      </w:r>
    </w:p>
    <w:p>
      <w:pPr>
        <w:pStyle w:val="ListBullet"/>
      </w:pPr>
      <w:r>
        <w:t xml:space="preserve">Dado o corpus reduzido (13 cenários), codifica-se </w:t>
      </w:r>
      <w:r>
        <w:rPr>
          <w:b/>
        </w:rPr>
        <w:t>100% das respostas</w:t>
      </w:r>
      <w:r>
        <w:t xml:space="preserve"> do(s)</w:t>
      </w:r>
    </w:p>
    <w:p>
      <w:r>
        <w:t>modelo(s) validado(s), não uma amostra.</w:t>
      </w:r>
    </w:p>
    <w:p>
      <w:pPr>
        <w:pStyle w:val="Heading3"/>
      </w:pPr>
      <w:r>
        <w:t>O que se reporta</w:t>
      </w:r>
    </w:p>
    <w:p>
      <w:pPr>
        <w:pStyle w:val="ListNumber"/>
      </w:pPr>
      <w:r>
        <w:rPr>
          <w:b/>
        </w:rPr>
        <w:t>κ humano–humano</w:t>
      </w:r>
      <w:r>
        <w:t>, por dimensão (Cohen's κ, nominal de 3 categorias, não</w:t>
      </w:r>
    </w:p>
    <w:p>
      <w:r>
        <w:t>ponderado), com concordância observada, IC 95% e banda de Landis &amp; Koch (1977).</w:t>
      </w:r>
    </w:p>
    <w:p>
      <w:pPr>
        <w:pStyle w:val="ListNumber"/>
      </w:pPr>
      <w:r>
        <w:rPr>
          <w:b/>
        </w:rPr>
        <w:t>Concordância heurística–consenso humano</w:t>
      </w:r>
      <w:r>
        <w:t>, apenas na Dimensão A colapsada em</w:t>
      </w:r>
    </w:p>
    <w:p>
      <w:r>
        <w:t>binário (A1 vs. não-A1) — validação do critério de triagem automático.</w:t>
      </w:r>
    </w:p>
    <w:p>
      <w:r>
        <w:t>Referências de interpretação: Landis &amp; Koch (1977); Cohen (1960); Artstein &amp; Poesio (2008). Reportar a convenção de cobertura como convenção, não como regra.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