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response-to-reviewers"/>
    <w:p>
      <w:pPr>
        <w:pStyle w:val="Heading1"/>
      </w:pPr>
      <w:r>
        <w:t xml:space="preserve">Response to Reviewers</w:t>
      </w:r>
    </w:p>
    <w:p>
      <w:pPr>
        <w:pStyle w:val="FirstParagraph"/>
      </w:pPr>
      <w:r>
        <w:rPr>
          <w:b/>
          <w:bCs/>
        </w:rPr>
        <w:t xml:space="preserve">Journal of the Brazilian Computer Society, Round 1</w:t>
      </w:r>
    </w:p>
    <w:p>
      <w:pPr>
        <w:pStyle w:val="BodyText"/>
      </w:pPr>
      <w:r>
        <w:rPr>
          <w:b/>
          <w:bCs/>
        </w:rPr>
        <w:t xml:space="preserve">Manuscript.</w:t>
      </w:r>
      <w:r>
        <w:t xml:space="preserve"> </w:t>
      </w:r>
      <w:r>
        <w:t xml:space="preserve">A Diagnostic Evaluation of Small Language Models for Offline</w:t>
      </w:r>
      <w:r>
        <w:t xml:space="preserve"> </w:t>
      </w:r>
      <w:r>
        <w:t xml:space="preserve">Writing-Feedback Tutoring in Brazilian Portuguese: A Study on Structural and Pedagogical</w:t>
      </w:r>
      <w:r>
        <w:t xml:space="preserve"> </w:t>
      </w:r>
      <w:r>
        <w:t xml:space="preserve">Adherence under Public-School Infrastructure Constraints</w:t>
      </w:r>
    </w:p>
    <w:p>
      <w:pPr>
        <w:pStyle w:val="BodyText"/>
      </w:pPr>
      <w:r>
        <w:rPr>
          <w:b/>
          <w:bCs/>
        </w:rPr>
        <w:t xml:space="preserve">Authors.</w:t>
      </w:r>
      <w:r>
        <w:t xml:space="preserve"> </w:t>
      </w:r>
      <w:r>
        <w:t xml:space="preserve">Randerson Oliveira Melville Rebouças, Marcelo Magalhães Foohs, Rosa Maria Vicari</w:t>
      </w:r>
    </w:p>
    <w:p>
      <w:pPr>
        <w:pStyle w:val="BodyText"/>
      </w:pPr>
      <w:r>
        <w:rPr>
          <w:b/>
          <w:bCs/>
        </w:rPr>
        <w:t xml:space="preserve">Decision.</w:t>
      </w:r>
      <w:r>
        <w:t xml:space="preserve"> </w:t>
      </w:r>
      <w:r>
        <w:t xml:space="preserve">A revised version is required for further review, 27 July 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Dear Editors, dear Reviewers,</w:t>
      </w:r>
    </w:p>
    <w:p>
      <w:pPr>
        <w:pStyle w:val="BodyText"/>
      </w:pPr>
      <w:r>
        <w:t xml:space="preserve">We thank both reviewers for reports that were precise, constructive and, on the central</w:t>
      </w:r>
      <w:r>
        <w:t xml:space="preserve"> </w:t>
      </w:r>
      <w:r>
        <w:t xml:space="preserve">point, convergent. Both pressed on the reliability of the coding that supports the</w:t>
      </w:r>
      <w:r>
        <w:t xml:space="preserve"> </w:t>
      </w:r>
      <w:r>
        <w:t xml:space="preserve">qualitative analysis. Measuring it properly obliged us to withdraw a reliability check we had</w:t>
      </w:r>
      <w:r>
        <w:t xml:space="preserve"> </w:t>
      </w:r>
      <w:r>
        <w:t xml:space="preserve">already reported, rebuild the coding instrument, and run the round again with two coders</w:t>
      </w:r>
      <w:r>
        <w:t xml:space="preserve"> </w:t>
      </w:r>
      <w:r>
        <w:t xml:space="preserve">external to the research team. One claim of the submitted version is now weaker, one is</w:t>
      </w:r>
      <w:r>
        <w:t xml:space="preserve"> </w:t>
      </w:r>
      <w:r>
        <w:t xml:space="preserve">differently framed, and the section the reviewers questioned rests on evidence with</w:t>
      </w:r>
      <w:r>
        <w:t xml:space="preserve"> </w:t>
      </w:r>
      <w:r>
        <w:t xml:space="preserve">defensible provenance. Every other point raised was addressed in the text.</w:t>
      </w:r>
    </w:p>
    <w:p>
      <w:pPr>
        <w:pStyle w:val="BodyText"/>
      </w:pPr>
      <w:r>
        <w:t xml:space="preserve">Below, each reviewer comment is quoted in full, followed by what changed and where. Section,</w:t>
      </w:r>
      <w:r>
        <w:t xml:space="preserve"> </w:t>
      </w:r>
      <w:r>
        <w:t xml:space="preserve">table and figure numbers refer to the revised version. A summary table closes the letter.</w:t>
      </w:r>
    </w:p>
    <w:p>
      <w:r>
        <w:pict>
          <v:rect style="width:0;height:1.5pt" o:hralign="center" o:hrstd="t" o:hr="t"/>
        </w:pict>
      </w:r>
    </w:p>
    <w:bookmarkStart w:id="15" w:name="reviewer-a"/>
    <w:p>
      <w:pPr>
        <w:pStyle w:val="Heading2"/>
      </w:pPr>
      <w:r>
        <w:t xml:space="preserve">Reviewer A</w:t>
      </w:r>
    </w:p>
    <w:bookmarkStart w:id="9" w:name="a1.-the-lexical-proxy-for-rq2"/>
    <w:p>
      <w:pPr>
        <w:pStyle w:val="Heading3"/>
      </w:pPr>
      <w:r>
        <w:t xml:space="preserve">A1. The lexical proxy for RQ2</w:t>
      </w:r>
    </w:p>
    <w:p>
      <w:pPr>
        <w:pStyle w:val="BlockText"/>
      </w:pPr>
      <w:r>
        <w:t xml:space="preserve">My main concern is the evaluation of the second research question. The use of lexical</w:t>
      </w:r>
      <w:r>
        <w:t xml:space="preserve"> </w:t>
      </w:r>
      <w:r>
        <w:t xml:space="preserve">markers associated with the cohesion taxonomy is a relatively weak proxy for metalinguistic</w:t>
      </w:r>
      <w:r>
        <w:t xml:space="preserve"> </w:t>
      </w:r>
      <w:r>
        <w:t xml:space="preserve">or pedagogical competence. Mentioning an appropriate term does not necessarily mean that the</w:t>
      </w:r>
      <w:r>
        <w:t xml:space="preserve"> </w:t>
      </w:r>
      <w:r>
        <w:t xml:space="preserve">model correctly identifies the problem or helps the student revise it; conversely, a</w:t>
      </w:r>
      <w:r>
        <w:t xml:space="preserve"> </w:t>
      </w:r>
      <w:r>
        <w:t xml:space="preserve">pedagogically useful response may not use the expected terminology. I therefore recommend</w:t>
      </w:r>
      <w:r>
        <w:t xml:space="preserve"> </w:t>
      </w:r>
      <w:r>
        <w:t xml:space="preserve">either strengthening this analysis through independent human evaluation or clearly</w:t>
      </w:r>
      <w:r>
        <w:t xml:space="preserve"> </w:t>
      </w:r>
      <w:r>
        <w:t xml:space="preserve">presenting the keyword analysis as exploratory evidence rather than as a direct measure of</w:t>
      </w:r>
      <w:r>
        <w:t xml:space="preserve"> </w:t>
      </w:r>
      <w:r>
        <w:t xml:space="preserve">pedagogical adherence.</w:t>
      </w:r>
    </w:p>
    <w:p>
      <w:pPr>
        <w:pStyle w:val="FirstParagraph"/>
      </w:pPr>
      <w:r>
        <w:t xml:space="preserve">We did both. The keyword analysis is now presented as an exploratory screen, and its</w:t>
      </w:r>
      <w:r>
        <w:t xml:space="preserve"> </w:t>
      </w:r>
      <w:r>
        <w:t xml:space="preserve">construct validity was estimated against independent human judgment.</w:t>
      </w:r>
    </w:p>
    <w:p>
      <w:pPr>
        <w:pStyle w:val="BodyText"/>
      </w:pPr>
      <w:r>
        <w:t xml:space="preserve">Two teachers of Portuguese, external to the study (their recruitment and profile are</w:t>
      </w:r>
      <w:r>
        <w:t xml:space="preserve"> </w:t>
      </w:r>
      <w:r>
        <w:t xml:space="preserve">described under A3), judged each of the 39 responses of the conformant model, in a separate</w:t>
      </w:r>
      <w:r>
        <w:t xml:space="preserve"> </w:t>
      </w:r>
      <w:r>
        <w:t xml:space="preserve">pass and against a definition frozen before annotation, on whether the response addresses the</w:t>
      </w:r>
      <w:r>
        <w:t xml:space="preserve"> </w:t>
      </w:r>
      <w:r>
        <w:t xml:space="preserve">student’s own text as a linguistic object rather than the content of the literary source. The</w:t>
      </w:r>
      <w:r>
        <w:t xml:space="preserve"> </w:t>
      </w:r>
      <w:r>
        <w:t xml:space="preserve">two coders agree with</w:t>
      </w:r>
      <w:r>
        <w:t xml:space="preserve"> </w:t>
      </w:r>
      <w:r>
        <w:rPr>
          <w:b/>
          <w:bCs/>
        </w:rPr>
        <w:t xml:space="preserve">each other</w:t>
      </w:r>
      <w:r>
        <w:t xml:space="preserve"> </w:t>
      </w:r>
      <w:r>
        <w:t xml:space="preserve">at</w:t>
      </w:r>
      <w:r>
        <w:t xml:space="preserve"> </w:t>
      </w:r>
      <w:r>
        <w:rPr>
          <w:b/>
          <w:bCs/>
        </w:rPr>
        <w:t xml:space="preserve">κ = 0.72</w:t>
      </w:r>
      <w:r>
        <w:t xml:space="preserve"> </w:t>
      </w:r>
      <w:r>
        <w:t xml:space="preserve">(raw agreement 87.2%). The lexical</w:t>
      </w:r>
      <w:r>
        <w:t xml:space="preserve"> </w:t>
      </w:r>
      <w:r>
        <w:t xml:space="preserve">screen agrees with them at only</w:t>
      </w:r>
      <w:r>
        <w:t xml:space="preserve"> </w:t>
      </w:r>
      <w:r>
        <w:rPr>
          <w:b/>
          <w:bCs/>
        </w:rPr>
        <w:t xml:space="preserve">κ = 0.28 and 0.43</w:t>
      </w:r>
      <w:r>
        <w:t xml:space="preserve">, and it credits 20 of 39 turns (51.3%)</w:t>
      </w:r>
      <w:r>
        <w:t xml:space="preserve"> </w:t>
      </w:r>
      <w:r>
        <w:t xml:space="preserve">where they credit 26 and 25 (66.7% and 64.1%).</w:t>
      </w:r>
    </w:p>
    <w:p>
      <w:pPr>
        <w:pStyle w:val="BodyText"/>
      </w:pPr>
      <w:r>
        <w:t xml:space="preserve">The screen therefore</w:t>
      </w:r>
      <w:r>
        <w:t xml:space="preserve"> </w:t>
      </w:r>
      <w:r>
        <w:rPr>
          <w:b/>
          <w:bCs/>
        </w:rPr>
        <w:t xml:space="preserve">under-credits</w:t>
      </w:r>
      <w:r>
        <w:t xml:space="preserve"> </w:t>
      </w:r>
      <w:r>
        <w:t xml:space="preserve">the construct at corpus level, not only turn by turn,</w:t>
      </w:r>
      <w:r>
        <w:t xml:space="preserve"> </w:t>
      </w:r>
      <w:r>
        <w:t xml:space="preserve">which is a stronger limitation than the submitted version declared. The revised manuscript</w:t>
      </w:r>
      <w:r>
        <w:t xml:space="preserve"> </w:t>
      </w:r>
      <w:r>
        <w:t xml:space="preserve">reports the 51.3% figure as a lower bound, always accompanied by the two human figures, in</w:t>
      </w:r>
      <w:r>
        <w:t xml:space="preserve"> </w:t>
      </w:r>
      <w:r>
        <w:t xml:space="preserve">the Abstract, in Section 6 and in the Conclusion, and treats the human judgment as the</w:t>
      </w:r>
      <w:r>
        <w:t xml:space="preserve"> </w:t>
      </w:r>
      <w:r>
        <w:t xml:space="preserve">better-grounded measure of RQ2 (Section 8, first limitation, states this in full). The</w:t>
      </w:r>
      <w:r>
        <w:t xml:space="preserve"> </w:t>
      </w:r>
      <w:r>
        <w:t xml:space="preserve">framing of the finding changes accordingly: not that the model rarely addresses the</w:t>
      </w:r>
      <w:r>
        <w:t xml:space="preserve"> </w:t>
      </w:r>
      <w:r>
        <w:t xml:space="preserve">student’s writing, since two experienced readers say it does so in about two thirds of the</w:t>
      </w:r>
      <w:r>
        <w:t xml:space="preserve"> </w:t>
      </w:r>
      <w:r>
        <w:t xml:space="preserve">turns, but that its mediational repertoire is narrow and a substantial share of its moves</w:t>
      </w:r>
      <w:r>
        <w:t xml:space="preserve"> </w:t>
      </w:r>
      <w:r>
        <w:t xml:space="preserve">rests on material the student’s text does not contain (Subsections 7.5 and 7.6).</w:t>
      </w:r>
    </w:p>
    <w:bookmarkEnd w:id="9"/>
    <w:bookmarkStart w:id="10" w:name="X8e9dde55a03113efebabfde8a3a220ac7b877de"/>
    <w:p>
      <w:pPr>
        <w:pStyle w:val="Heading3"/>
      </w:pPr>
      <w:r>
        <w:t xml:space="preserve">A2. The role of the human reference corpus</w:t>
      </w:r>
    </w:p>
    <w:p>
      <w:pPr>
        <w:pStyle w:val="BlockText"/>
      </w:pPr>
      <w:r>
        <w:t xml:space="preserve">The role of the human reference corpus also needs some clarification. Although the authors</w:t>
      </w:r>
      <w:r>
        <w:t xml:space="preserve"> </w:t>
      </w:r>
      <w:r>
        <w:t xml:space="preserve">state that it is descriptive rather than a gold standard, the comparison between model and</w:t>
      </w:r>
      <w:r>
        <w:t xml:space="preserve"> </w:t>
      </w:r>
      <w:r>
        <w:t xml:space="preserve">teacher frequencies may still be interpreted as a performance benchmark. The manuscript</w:t>
      </w:r>
      <w:r>
        <w:t xml:space="preserve"> </w:t>
      </w:r>
      <w:r>
        <w:t xml:space="preserve">should more clearly define the corpus as an empirical reference for pedagogical mediation</w:t>
      </w:r>
      <w:r>
        <w:t xml:space="preserve"> </w:t>
      </w:r>
      <w:r>
        <w:t xml:space="preserve">practices.</w:t>
      </w:r>
    </w:p>
    <w:p>
      <w:pPr>
        <w:pStyle w:val="FirstParagraph"/>
      </w:pPr>
      <w:r>
        <w:t xml:space="preserve">The opening of Section 7 was rewritten to define the corpus in exactly those terms. It now</w:t>
      </w:r>
      <w:r>
        <w:t xml:space="preserve"> </w:t>
      </w:r>
      <w:r>
        <w:t xml:space="preserve">states that the reference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used as a performance yardstick against the model; that</w:t>
      </w:r>
      <w:r>
        <w:t xml:space="preserve"> </w:t>
      </w:r>
      <w:r>
        <w:t xml:space="preserve">the specialist feedback was analyzed to derive the mediation functions that underpin the</w:t>
      </w:r>
      <w:r>
        <w:t xml:space="preserve"> </w:t>
      </w:r>
      <w:r>
        <w:t xml:space="preserve">pedagogical dimension of the benchmark, so that the comparison the study makes is</w:t>
      </w:r>
      <w:r>
        <w:t xml:space="preserve"> </w:t>
      </w:r>
      <w:r>
        <w:rPr>
          <w:i/>
          <w:iCs/>
        </w:rPr>
        <w:t xml:space="preserve">model</w:t>
      </w:r>
      <w:r>
        <w:rPr>
          <w:i/>
          <w:iCs/>
        </w:rPr>
        <w:t xml:space="preserve"> </w:t>
      </w:r>
      <w:r>
        <w:rPr>
          <w:i/>
          <w:iCs/>
        </w:rPr>
        <w:t xml:space="preserve">against mediation functions derived from expert practice</w:t>
      </w:r>
      <w:r>
        <w:t xml:space="preserve">, not model against teacher; and</w:t>
      </w:r>
      <w:r>
        <w:t xml:space="preserve"> </w:t>
      </w:r>
      <w:r>
        <w:t xml:space="preserve">that no claim of the form</w:t>
      </w:r>
      <w:r>
        <w:t xml:space="preserve"> </w:t>
      </w:r>
      <w:r>
        <w:t xml:space="preserve">“the model is worse than the teachers”</w:t>
      </w:r>
      <w:r>
        <w:t xml:space="preserve"> </w:t>
      </w:r>
      <w:r>
        <w:t xml:space="preserve">is made, because the</w:t>
      </w:r>
      <w:r>
        <w:t xml:space="preserve"> </w:t>
      </w:r>
      <w:r>
        <w:t xml:space="preserve">planted-error design of the scenarios makes problem detection circular by construction. The</w:t>
      </w:r>
      <w:r>
        <w:t xml:space="preserve"> </w:t>
      </w:r>
      <w:r>
        <w:t xml:space="preserve">text also explains why the corpus was kept: its analytical value lies in the mediational</w:t>
      </w:r>
      <w:r>
        <w:t xml:space="preserve"> </w:t>
      </w:r>
      <w:r>
        <w:t xml:space="preserve">layer (when to ask rather than tell, how much scaffolding to extend, whether to model a</w:t>
      </w:r>
      <w:r>
        <w:t xml:space="preserve"> </w:t>
      </w:r>
      <w:r>
        <w:t xml:space="preserve">repair), which the scenario does not dictate.</w:t>
      </w:r>
    </w:p>
    <w:p>
      <w:pPr>
        <w:pStyle w:val="BodyText"/>
      </w:pPr>
      <w:r>
        <w:t xml:space="preserve">Table 9 was reframed in the same direction. The teacher column is labelled and captioned as</w:t>
      </w:r>
      <w:r>
        <w:t xml:space="preserve"> </w:t>
      </w:r>
      <w:r>
        <w:t xml:space="preserve">a descriptive reference distribution, explicitly declared non-commensurable with the model</w:t>
      </w:r>
      <w:r>
        <w:t xml:space="preserve"> </w:t>
      </w:r>
      <w:r>
        <w:t xml:space="preserve">columns because it was coded under an earlier version of the instrument, and the table no</w:t>
      </w:r>
      <w:r>
        <w:t xml:space="preserve"> </w:t>
      </w:r>
      <w:r>
        <w:t xml:space="preserve">longer carries a</w:t>
      </w:r>
      <w:r>
        <w:t xml:space="preserve"> </w:t>
      </w:r>
      <w:r>
        <w:t xml:space="preserve">“gap”</w:t>
      </w:r>
      <w:r>
        <w:t xml:space="preserve"> </w:t>
      </w:r>
      <w:r>
        <w:t xml:space="preserve">column that invited reading it as a score. Figure 2 was redrawn so</w:t>
      </w:r>
      <w:r>
        <w:t xml:space="preserve"> </w:t>
      </w:r>
      <w:r>
        <w:t xml:space="preserve">that the reference appears as a grey marker beside the interval spanned by the two coders,</w:t>
      </w:r>
      <w:r>
        <w:t xml:space="preserve"> </w:t>
      </w:r>
      <w:r>
        <w:t xml:space="preserve">rather than as a bar to be matched.</w:t>
      </w:r>
    </w:p>
    <w:bookmarkEnd w:id="10"/>
    <w:bookmarkStart w:id="11" w:name="X815061f620b75aa907f09a0b518bb3366b480a4"/>
    <w:p>
      <w:pPr>
        <w:pStyle w:val="Heading3"/>
      </w:pPr>
      <w:r>
        <w:t xml:space="preserve">A3. Reliability validation of the coding scheme</w:t>
      </w:r>
    </w:p>
    <w:p>
      <w:pPr>
        <w:pStyle w:val="BlockText"/>
      </w:pPr>
      <w:r>
        <w:t xml:space="preserve">In addition, the revised coding scheme would benefit from further reliability validation,</w:t>
      </w:r>
      <w:r>
        <w:t xml:space="preserve"> </w:t>
      </w:r>
      <w:r>
        <w:t xml:space="preserve">particularly for the mediation functions that are central to the conclusions.</w:t>
      </w:r>
    </w:p>
    <w:p>
      <w:pPr>
        <w:pStyle w:val="FirstParagraph"/>
      </w:pPr>
      <w:r>
        <w:t xml:space="preserve">This is the point on which the manuscript changed most, and it coincides with Reviewer C’s</w:t>
      </w:r>
      <w:r>
        <w:t xml:space="preserve"> </w:t>
      </w:r>
      <w:r>
        <w:t xml:space="preserve">item C9. We describe it once here.</w:t>
      </w:r>
    </w:p>
    <w:p>
      <w:pPr>
        <w:pStyle w:val="BodyText"/>
      </w:pPr>
      <w:r>
        <w:rPr>
          <w:b/>
          <w:bCs/>
        </w:rPr>
        <w:t xml:space="preserve">The κ = 0.14 we first reported is withdrawn.</w:t>
      </w:r>
      <w:r>
        <w:t xml:space="preserve"> </w:t>
      </w:r>
      <w:r>
        <w:t xml:space="preserve">While preparing the validation, we found</w:t>
      </w:r>
      <w:r>
        <w:t xml:space="preserve"> </w:t>
      </w:r>
      <w:r>
        <w:t xml:space="preserve">that the pass it was compared against had been produced programmatically rather than by a</w:t>
      </w:r>
      <w:r>
        <w:t xml:space="preserve"> </w:t>
      </w:r>
      <w:r>
        <w:t xml:space="preserve">human coder, and that the two passes did not apply the same version of the codebook. Such a</w:t>
      </w:r>
      <w:r>
        <w:t xml:space="preserve"> </w:t>
      </w:r>
      <w:r>
        <w:t xml:space="preserve">pair does not estimate inter-rater reliability, so we withdrew the figure instead of letting</w:t>
      </w:r>
      <w:r>
        <w:t xml:space="preserve"> </w:t>
      </w:r>
      <w:r>
        <w:t xml:space="preserve">it stand. Subsection 7.6 states this in the text.</w:t>
      </w:r>
    </w:p>
    <w:p>
      <w:pPr>
        <w:pStyle w:val="BodyText"/>
      </w:pPr>
      <w:r>
        <w:rPr>
          <w:b/>
          <w:bCs/>
        </w:rPr>
        <w:t xml:space="preserve">The instrument was rebuilt before the new round.</w:t>
      </w:r>
      <w:r>
        <w:t xml:space="preserve"> </w:t>
      </w:r>
      <w:r>
        <w:t xml:space="preserve">Version 0.5 of the codebook separates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presence</w:t>
      </w:r>
      <w:r>
        <w:t xml:space="preserve"> </w:t>
      </w:r>
      <w:r>
        <w:t xml:space="preserve">of a mediation move from its</w:t>
      </w:r>
      <w:r>
        <w:t xml:space="preserve"> </w:t>
      </w:r>
      <w:r>
        <w:rPr>
          <w:i/>
          <w:iCs/>
        </w:rPr>
        <w:t xml:space="preserve">validity</w:t>
      </w:r>
      <w:r>
        <w:t xml:space="preserve">: a move present in form but resting</w:t>
      </w:r>
      <w:r>
        <w:t xml:space="preserve"> </w:t>
      </w:r>
      <w:r>
        <w:t xml:space="preserve">on a misreading of the student’s text is coded as the function present with a false positive</w:t>
      </w:r>
      <w:r>
        <w:t xml:space="preserve"> </w:t>
      </w:r>
      <w:r>
        <w:t xml:space="preserve">attached, not as the function absent. Quoted evidence is mandatory for every function marked</w:t>
      </w:r>
      <w:r>
        <w:t xml:space="preserve"> </w:t>
      </w:r>
      <w:r>
        <w:t xml:space="preserve">and a written justification for every false positive. A dated analysis plan fixed the</w:t>
      </w:r>
      <w:r>
        <w:t xml:space="preserve"> </w:t>
      </w:r>
      <w:r>
        <w:t xml:space="preserve">reporting rules before annotation, including the rule that no mean κ would serve as a</w:t>
      </w:r>
      <w:r>
        <w:t xml:space="preserve"> </w:t>
      </w:r>
      <w:r>
        <w:t xml:space="preserve">decision criterion.</w:t>
      </w:r>
    </w:p>
    <w:p>
      <w:pPr>
        <w:pStyle w:val="BodyText"/>
      </w:pPr>
      <w:r>
        <w:rPr>
          <w:b/>
          <w:bCs/>
        </w:rPr>
        <w:t xml:space="preserve">The round that replaces it.</w:t>
      </w:r>
      <w:r>
        <w:t xml:space="preserve"> </w:t>
      </w:r>
      <w:r>
        <w:t xml:space="preserve">Two teachers of Portuguese coded all 39 model turns</w:t>
      </w:r>
      <w:r>
        <w:t xml:space="preserve"> </w:t>
      </w:r>
      <w:r>
        <w:t xml:space="preserve">independently. Neither is an author, a supervisor, or a member of the research group;</w:t>
      </w:r>
      <w:r>
        <w:t xml:space="preserve"> </w:t>
      </w:r>
      <w:r>
        <w:t xml:space="preserve">neither is one of the five teachers who produced the specialist corpus; neither had prior</w:t>
      </w:r>
      <w:r>
        <w:t xml:space="preserve"> </w:t>
      </w:r>
      <w:r>
        <w:t xml:space="preserve">access to the manuscript, the repository, the coding manual, or any earlier coding. Both hold</w:t>
      </w:r>
      <w:r>
        <w:t xml:space="preserve"> </w:t>
      </w:r>
      <w:r>
        <w:t xml:space="preserve">a degree in Letters and a master’s in Applied Linguistics, and one currently teaches the 8th</w:t>
      </w:r>
      <w:r>
        <w:t xml:space="preserve"> </w:t>
      </w:r>
      <w:r>
        <w:t xml:space="preserve">and 9th grades the study targets. Both were paid a flat fee agreed in advance, contingent on</w:t>
      </w:r>
      <w:r>
        <w:t xml:space="preserve"> </w:t>
      </w:r>
      <w:r>
        <w:t xml:space="preserve">delivery and not on any result. Subsection 7.6 and the Declarations report the recruitment,</w:t>
      </w:r>
      <w:r>
        <w:t xml:space="preserve"> </w:t>
      </w:r>
      <w:r>
        <w:t xml:space="preserve">the eligibility criteria, the exclusions and the compensation.</w:t>
      </w:r>
    </w:p>
    <w:p>
      <w:pPr>
        <w:pStyle w:val="BodyText"/>
      </w:pPr>
      <w:r>
        <w:rPr>
          <w:b/>
          <w:bCs/>
        </w:rPr>
        <w:t xml:space="preserve">Result</w:t>
      </w:r>
      <w:r>
        <w:t xml:space="preserve"> </w:t>
      </w:r>
      <w:r>
        <w:t xml:space="preserve">(Table 10, new), read in three tiers as the analysis plan required: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functions</w:t>
            </w:r>
          </w:p>
        </w:tc>
        <w:tc>
          <w:tcPr/>
          <w:p>
            <w:pPr>
              <w:pStyle w:val="Compact"/>
            </w:pPr>
            <w:r>
              <w:t xml:space="preserve">reading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Reliable</w:t>
            </w:r>
          </w:p>
        </w:tc>
        <w:tc>
          <w:tcPr/>
          <w:p>
            <w:pPr>
              <w:pStyle w:val="Compact"/>
            </w:pPr>
            <w:r>
              <w:t xml:space="preserve">recognize competence κ = 0.64; provoke reflection κ = 0.57; metalinguistic focus κ = 0.72</w:t>
            </w:r>
          </w:p>
        </w:tc>
        <w:tc>
          <w:tcPr/>
          <w:p>
            <w:pPr>
              <w:pStyle w:val="Compact"/>
            </w:pPr>
            <w:r>
              <w:t xml:space="preserve">carry quantitative 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 estimable</w:t>
            </w:r>
          </w:p>
        </w:tc>
        <w:tc>
          <w:tcPr/>
          <w:p>
            <w:pPr>
              <w:pStyle w:val="Compact"/>
            </w:pPr>
            <w:r>
              <w:t xml:space="preserve">name the problem, offer a cue, propose revision</w:t>
            </w:r>
          </w:p>
        </w:tc>
        <w:tc>
          <w:tcPr/>
          <w:p>
            <w:pPr>
              <w:pStyle w:val="Compact"/>
            </w:pPr>
            <w:r>
              <w:t xml:space="preserve">1 to 5 occurrences in 39; raw agreement 87–92%, PABAK 0.74–0.85, κ collapses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Absent</w:t>
            </w:r>
          </w:p>
        </w:tc>
        <w:tc>
          <w:tcPr/>
          <w:p>
            <w:pPr>
              <w:pStyle w:val="Compact"/>
            </w:pPr>
            <w:r>
              <w:t xml:space="preserve">partial modeling, reinforce autonomy</w:t>
            </w:r>
          </w:p>
        </w:tc>
        <w:tc>
          <w:tcPr/>
          <w:p>
            <w:pPr>
              <w:pStyle w:val="Compact"/>
            </w:pPr>
            <w:r>
              <w:t xml:space="preserve">0 of 39 under both coders</w:t>
            </w:r>
          </w:p>
        </w:tc>
      </w:tr>
    </w:tbl>
    <w:p>
      <w:pPr>
        <w:pStyle w:val="BodyText"/>
      </w:pPr>
      <w:r>
        <w:t xml:space="preserve">The middle tier is the kappa paradox of Feinstein and Cicchetti: a corpus with one to five</w:t>
      </w:r>
      <w:r>
        <w:t xml:space="preserve"> </w:t>
      </w:r>
      <w:r>
        <w:t xml:space="preserve">instances of a function cannot support an estimate of its reliability, which is not the same</w:t>
      </w:r>
      <w:r>
        <w:t xml:space="preserve"> </w:t>
      </w:r>
      <w:r>
        <w:t xml:space="preserve">as having shown it unreliable. Every category is reported, with its prevalence under each</w:t>
      </w:r>
      <w:r>
        <w:t xml:space="preserve"> </w:t>
      </w:r>
      <w:r>
        <w:t xml:space="preserve">coder, its raw agreement, its κ and its prevalence-adjusted counterpart.</w:t>
      </w:r>
    </w:p>
    <w:p>
      <w:pPr>
        <w:pStyle w:val="BodyText"/>
      </w:pPr>
      <w:r>
        <w:rPr>
          <w:b/>
          <w:bCs/>
        </w:rPr>
        <w:t xml:space="preserve">The disagreement is taxonomic, not perceptual.</w:t>
      </w:r>
      <w:r>
        <w:t xml:space="preserve"> </w:t>
      </w:r>
      <w:r>
        <w:t xml:space="preserve">The two codings differ on 35 decisions</w:t>
      </w:r>
      <w:r>
        <w:t xml:space="preserve"> </w:t>
      </w:r>
      <w:r>
        <w:t xml:space="preserve">across 25 turns, and</w:t>
      </w:r>
      <w:r>
        <w:t xml:space="preserve"> </w:t>
      </w:r>
      <w:r>
        <w:rPr>
          <w:b/>
          <w:bCs/>
        </w:rPr>
        <w:t xml:space="preserve">31 of the 35 are the same quoted stretch of feedback assigned to a</w:t>
      </w:r>
      <w:r>
        <w:rPr>
          <w:b/>
          <w:bCs/>
        </w:rPr>
        <w:t xml:space="preserve"> </w:t>
      </w:r>
      <w:r>
        <w:rPr>
          <w:b/>
          <w:bCs/>
        </w:rPr>
        <w:t xml:space="preserve">different function</w:t>
      </w:r>
      <w:r>
        <w:t xml:space="preserve">. The criterion is explicit: we test whether the other coder recorded</w:t>
      </w:r>
      <w:r>
        <w:t xml:space="preserve"> </w:t>
      </w:r>
      <w:r>
        <w:t xml:space="preserve">another function in the same turn whose quoted evidence covers the same text, at 80% or more</w:t>
      </w:r>
      <w:r>
        <w:t xml:space="preserve"> </w:t>
      </w:r>
      <w:r>
        <w:t xml:space="preserve">of the shorter quotation’s content words. Only four disagreements concern whether a move is</w:t>
      </w:r>
      <w:r>
        <w:t xml:space="preserve"> </w:t>
      </w:r>
      <w:r>
        <w:t xml:space="preserve">present at all. The reassignments concentrate on three boundaries, and reflection against</w:t>
      </w:r>
      <w:r>
        <w:t xml:space="preserve"> </w:t>
      </w:r>
      <w:r>
        <w:t xml:space="preserve">expansion accounts for 14 of the 31: the model returns the same shape every time, a</w:t>
      </w:r>
      <w:r>
        <w:t xml:space="preserve"> </w:t>
      </w:r>
      <w:r>
        <w:t xml:space="preserve">recognition clause followed by two open questions that are simultaneously anchored in the</w:t>
      </w:r>
      <w:r>
        <w:t xml:space="preserve"> </w:t>
      </w:r>
      <w:r>
        <w:t xml:space="preserve">student’s text and requests for content it does not contain, and the codebook does not say</w:t>
      </w:r>
      <w:r>
        <w:t xml:space="preserve"> </w:t>
      </w:r>
      <w:r>
        <w:t xml:space="preserve">whether these two functions may be recorded together. Both readings are consistent with the</w:t>
      </w:r>
      <w:r>
        <w:t xml:space="preserve"> </w:t>
      </w:r>
      <w:r>
        <w:t xml:space="preserve">guide, which makes this a defect of the instrument, and one an earlier round had already</w:t>
      </w:r>
      <w:r>
        <w:t xml:space="preserve"> </w:t>
      </w:r>
      <w:r>
        <w:t xml:space="preserve">flagged in the same neighbourhood.</w:t>
      </w:r>
      <w:r>
        <w:t xml:space="preserve"> </w:t>
      </w:r>
      <w:r>
        <w:rPr>
          <w:b/>
          <w:bCs/>
        </w:rPr>
        <w:t xml:space="preserve">We decline to recompute κ with the categories merged</w:t>
      </w:r>
      <w:r>
        <w:t xml:space="preserve">:</w:t>
      </w:r>
      <w:r>
        <w:t xml:space="preserve"> </w:t>
      </w:r>
      <w:r>
        <w:t xml:space="preserve">the analysis plan forbids adjusting the instrument after seeing the result.</w:t>
      </w:r>
    </w:p>
    <w:p>
      <w:pPr>
        <w:pStyle w:val="BodyText"/>
      </w:pPr>
      <w:r>
        <w:rPr>
          <w:b/>
          <w:bCs/>
        </w:rPr>
        <w:t xml:space="preserve">No false-positive rate is published.</w:t>
      </w:r>
      <w:r>
        <w:t xml:space="preserve"> </w:t>
      </w:r>
      <w:r>
        <w:t xml:space="preserve">Agreement on whether a move is unsupported by the</w:t>
      </w:r>
      <w:r>
        <w:t xml:space="preserve"> </w:t>
      </w:r>
      <w:r>
        <w:t xml:space="preserve">student’s text is κ = 0.21 in the largest conditional subset. Asking only whether a turn</w:t>
      </w:r>
      <w:r>
        <w:t xml:space="preserve"> </w:t>
      </w:r>
      <w:r>
        <w:t xml:space="preserve">carries any unsupported move, irrespective of function, gives κ = 0.18, with one coder</w:t>
      </w:r>
      <w:r>
        <w:t xml:space="preserve"> </w:t>
      </w:r>
      <w:r>
        <w:t xml:space="preserve">flagging 13 of the 39 turns and the other 27: a difference of severity, not of filing. We</w:t>
      </w:r>
      <w:r>
        <w:t xml:space="preserve"> </w:t>
      </w:r>
      <w:r>
        <w:t xml:space="preserve">report only the floor both codings support, namely 11 turns in which both teachers</w:t>
      </w:r>
      <w:r>
        <w:t xml:space="preserve"> </w:t>
      </w:r>
      <w:r>
        <w:t xml:space="preserve">independently recorded a move resting on something the student’s text does not contain.</w:t>
      </w:r>
    </w:p>
    <w:p>
      <w:pPr>
        <w:pStyle w:val="BodyText"/>
      </w:pPr>
      <w:r>
        <w:rPr>
          <w:b/>
          <w:bCs/>
        </w:rPr>
        <w:t xml:space="preserve">Effect on the manuscript.</w:t>
      </w:r>
      <w:r>
        <w:t xml:space="preserve"> </w:t>
      </w:r>
      <w:r>
        <w:t xml:space="preserve">Subsection 7.5 was rewritten around the two external codings,</w:t>
      </w:r>
      <w:r>
        <w:t xml:space="preserve"> </w:t>
      </w:r>
      <w:r>
        <w:t xml:space="preserve">and Table 9 now shows the prevalence recorded by each coder instead of a single column. Only</w:t>
      </w:r>
      <w:r>
        <w:t xml:space="preserve"> </w:t>
      </w:r>
      <w:r>
        <w:t xml:space="preserve">the reliable tier bears quantitative weight; the argument rests on the shape both codings</w:t>
      </w:r>
      <w:r>
        <w:t xml:space="preserve"> </w:t>
      </w:r>
      <w:r>
        <w:t xml:space="preserve">share: recognition and reflection are recorded at identical rates (92% and 77%), the</w:t>
      </w:r>
      <w:r>
        <w:t xml:space="preserve"> </w:t>
      </w:r>
      <w:r>
        <w:t xml:space="preserve">operational core of the specialist corpus (naming the problem, offering a cue, proposing a</w:t>
      </w:r>
      <w:r>
        <w:t xml:space="preserve"> </w:t>
      </w:r>
      <w:r>
        <w:t xml:space="preserve">revision) appears in at most five turns under either coder, and two functions (modeling a</w:t>
      </w:r>
      <w:r>
        <w:t xml:space="preserve"> </w:t>
      </w:r>
      <w:r>
        <w:t xml:space="preserve">repair, reinforcing autonomy) are empty under both. Section 8 now names the reliability of</w:t>
      </w:r>
      <w:r>
        <w:t xml:space="preserve"> </w:t>
      </w:r>
      <w:r>
        <w:t xml:space="preserve">the model-side coding as the sharpest limitation of the paper and states its new shape.</w:t>
      </w:r>
    </w:p>
    <w:bookmarkEnd w:id="11"/>
    <w:bookmarkStart w:id="12" w:name="a4.-scenario-level-analysis"/>
    <w:p>
      <w:pPr>
        <w:pStyle w:val="Heading3"/>
      </w:pPr>
      <w:r>
        <w:t xml:space="preserve">A4. Scenario-level analysis</w:t>
      </w:r>
    </w:p>
    <w:p>
      <w:pPr>
        <w:pStyle w:val="BlockText"/>
      </w:pPr>
      <w:r>
        <w:t xml:space="preserve">The statistical interpretation should also acknowledge more explicitly that the 39</w:t>
      </w:r>
      <w:r>
        <w:t xml:space="preserve"> </w:t>
      </w:r>
      <w:r>
        <w:t xml:space="preserve">responses per model derive from only 13 scenarios repeated three times. The repetitions</w:t>
      </w:r>
      <w:r>
        <w:t xml:space="preserve"> </w:t>
      </w:r>
      <w:r>
        <w:t xml:space="preserve">are useful for assessing stability, but they do not provide the same diversity as 39</w:t>
      </w:r>
      <w:r>
        <w:t xml:space="preserve"> </w:t>
      </w:r>
      <w:r>
        <w:t xml:space="preserve">independent scenarios. A scenario-level analysis would strengthen the conclusions.</w:t>
      </w:r>
    </w:p>
    <w:p>
      <w:pPr>
        <w:pStyle w:val="FirstParagraph"/>
      </w:pPr>
      <w:r>
        <w:t xml:space="preserve">Section 6 gained a paragraph,</w:t>
      </w:r>
      <w:r>
        <w:t xml:space="preserve"> </w:t>
      </w:r>
      <w:r>
        <w:t xml:space="preserve">“The scenario as the unit of analysis”</w:t>
      </w:r>
      <w:r>
        <w:t xml:space="preserve">, that repeats the RQ2</w:t>
      </w:r>
      <w:r>
        <w:t xml:space="preserve"> </w:t>
      </w:r>
      <w:r>
        <w:t xml:space="preserve">analysis with the scenario as the sampling unit. Taking the scenario as the unit, 1 of 13</w:t>
      </w:r>
      <w:r>
        <w:t xml:space="preserve"> </w:t>
      </w:r>
      <w:r>
        <w:t xml:space="preserve">scenarios adheres in every repetition (7.7%; Wilson 95% CI [1.4%; 33.3%]) and 12 of 13 in at</w:t>
      </w:r>
      <w:r>
        <w:t xml:space="preserve"> </w:t>
      </w:r>
      <w:r>
        <w:t xml:space="preserve">least one (92.3%; [66.7%; 98.6%]): the model is almost always</w:t>
      </w:r>
      <w:r>
        <w:t xml:space="preserve"> </w:t>
      </w:r>
      <w:r>
        <w:rPr>
          <w:i/>
          <w:iCs/>
        </w:rPr>
        <w:t xml:space="preserve">capable</w:t>
      </w:r>
      <w:r>
        <w:t xml:space="preserve"> </w:t>
      </w:r>
      <w:r>
        <w:t xml:space="preserve">of surfacing the</w:t>
      </w:r>
      <w:r>
        <w:t xml:space="preserve"> </w:t>
      </w:r>
      <w:r>
        <w:t xml:space="preserve">metalinguistic object and almost never</w:t>
      </w:r>
      <w:r>
        <w:t xml:space="preserve"> </w:t>
      </w:r>
      <w:r>
        <w:rPr>
          <w:i/>
          <w:iCs/>
        </w:rPr>
        <w:t xml:space="preserve">reliable</w:t>
      </w:r>
      <w:r>
        <w:t xml:space="preserve"> </w:t>
      </w:r>
      <w:r>
        <w:t xml:space="preserve">in doing so. Quantifying the clustering</w:t>
      </w:r>
      <w:r>
        <w:t xml:space="preserve"> </w:t>
      </w:r>
      <w:r>
        <w:t xml:space="preserve">directly, the intraclass correlation of adherence is negative (ICC(1) = −0.11, one-way ANOVA</w:t>
      </w:r>
      <w:r>
        <w:t xml:space="preserve"> </w:t>
      </w:r>
      <w:r>
        <w:t xml:space="preserve">estimator; design effect 0.79, effective n = 49.5), and a cluster bootstrap that resamples</w:t>
      </w:r>
      <w:r>
        <w:t xml:space="preserve"> </w:t>
      </w:r>
      <w:r>
        <w:t xml:space="preserve">scenarios rather than responses (B = 20,000) returns [38.5%; 64.1%], marginally narrower</w:t>
      </w:r>
      <w:r>
        <w:t xml:space="preserve"> </w:t>
      </w:r>
      <w:r>
        <w:t xml:space="preserve">than the naive Wilson interval. The repeated-measures design therefore does not inflate the</w:t>
      </w:r>
      <w:r>
        <w:t xml:space="preserve"> </w:t>
      </w:r>
      <w:r>
        <w:t xml:space="preserve">precision of the 51.3% estimate; we nevertheless keep the wider Wilson interval throughout as</w:t>
      </w:r>
      <w:r>
        <w:t xml:space="preserve"> </w:t>
      </w:r>
      <w:r>
        <w:t xml:space="preserve">the conservative reading. The absence of positive intraclass correlation is reported as</w:t>
      </w:r>
      <w:r>
        <w:t xml:space="preserve"> </w:t>
      </w:r>
      <w:r>
        <w:t xml:space="preserve">substantive rather than technical: it is the quantitative form of the instability described</w:t>
      </w:r>
      <w:r>
        <w:t xml:space="preserve"> </w:t>
      </w:r>
      <w:r>
        <w:t xml:space="preserve">in the text, since a model mobilizing the rubric as a stable property of each scenario would</w:t>
      </w:r>
      <w:r>
        <w:t xml:space="preserve"> </w:t>
      </w:r>
      <w:r>
        <w:t xml:space="preserve">necessarily produce positive clustering. The per-scenario breakdown is released with the</w:t>
      </w:r>
      <w:r>
        <w:t xml:space="preserve"> </w:t>
      </w:r>
      <w:r>
        <w:t xml:space="preserve">artifacts.</w:t>
      </w:r>
    </w:p>
    <w:bookmarkEnd w:id="12"/>
    <w:bookmarkStart w:id="13" w:name="Xc3309731a23fcfa5e5130e84d21b7d551236507"/>
    <w:p>
      <w:pPr>
        <w:pStyle w:val="Heading3"/>
      </w:pPr>
      <w:r>
        <w:t xml:space="preserve">A5. Causal claims about the origin of the Llama 3.2 behavior</w:t>
      </w:r>
    </w:p>
    <w:p>
      <w:pPr>
        <w:pStyle w:val="BlockText"/>
      </w:pPr>
      <w:r>
        <w:t xml:space="preserve">Finally, some causal claims concerning the origin of the Llama 3.2 behavior in</w:t>
      </w:r>
      <w:r>
        <w:t xml:space="preserve"> </w:t>
      </w:r>
      <w:r>
        <w:t xml:space="preserve">instruction tuning or post-training appear stronger than the evidence supports. The</w:t>
      </w:r>
      <w:r>
        <w:t xml:space="preserve"> </w:t>
      </w:r>
      <w:r>
        <w:t xml:space="preserve">experiments demonstrate a robust behavioral pattern under the tested conditions and its</w:t>
      </w:r>
      <w:r>
        <w:t xml:space="preserve"> </w:t>
      </w:r>
      <w:r>
        <w:t xml:space="preserve">reversibility through one-shot prompting, but they do not establish the underlying causal</w:t>
      </w:r>
      <w:r>
        <w:t xml:space="preserve"> </w:t>
      </w:r>
      <w:r>
        <w:t xml:space="preserve">mechanism. The discussion should therefore use more cautious language.</w:t>
      </w:r>
    </w:p>
    <w:p>
      <w:pPr>
        <w:pStyle w:val="FirstParagraph"/>
      </w:pPr>
      <w:r>
        <w:t xml:space="preserve">We agree, and the language was changed wherever it appeared. The Abstract no longer says the</w:t>
      </w:r>
      <w:r>
        <w:t xml:space="preserve"> </w:t>
      </w:r>
      <w:r>
        <w:t xml:space="preserve">bias is</w:t>
      </w:r>
      <w:r>
        <w:t xml:space="preserve"> </w:t>
      </w:r>
      <w:r>
        <w:t xml:space="preserve">“inherited from instruction tuning”</w:t>
      </w:r>
      <w:r>
        <w:t xml:space="preserve">; it says what the protocol shows, namely that</w:t>
      </w:r>
      <w:r>
        <w:t xml:space="preserve"> </w:t>
      </w:r>
      <w:r>
        <w:t xml:space="preserve">the behavior is invariant to sampling temperature and to the client transport layer,</w:t>
      </w:r>
      <w:r>
        <w:t xml:space="preserve"> </w:t>
      </w:r>
      <w:r>
        <w:t xml:space="preserve">reversible by a single demonstration, and that</w:t>
      </w:r>
      <w:r>
        <w:t xml:space="preserve"> </w:t>
      </w:r>
      <w:r>
        <w:t xml:space="preserve">“the design is behavioural and does not</w:t>
      </w:r>
      <w:r>
        <w:t xml:space="preserve"> </w:t>
      </w:r>
      <w:r>
        <w:t xml:space="preserve">establish the bias’s origin”</w:t>
      </w:r>
      <w:r>
        <w:t xml:space="preserve">. Subsection 5.2 gained a paragraph stating what the evidence</w:t>
      </w:r>
      <w:r>
        <w:t xml:space="preserve"> </w:t>
      </w:r>
      <w:r>
        <w:t xml:space="preserve">does and does not license: the protocol is behavioral and black-box; it establishes that the</w:t>
      </w:r>
      <w:r>
        <w:t xml:space="preserve"> </w:t>
      </w:r>
      <w:r>
        <w:t xml:space="preserve">divergence is systematic (78/78 calls), invariant to temperature (E1) and to transport (E3),</w:t>
      </w:r>
      <w:r>
        <w:t xml:space="preserve"> </w:t>
      </w:r>
      <w:r>
        <w:t xml:space="preserve">shared across two model sizes and reversible by one in-context demonstration (E2, E2b); it</w:t>
      </w:r>
      <w:r>
        <w:t xml:space="preserve"> </w:t>
      </w:r>
      <w:r>
        <w:t xml:space="preserve">does not observe training data, reward models or post-training procedures and therefore</w:t>
      </w:r>
      <w:r>
        <w:t xml:space="preserve"> </w:t>
      </w:r>
      <w:r>
        <w:t xml:space="preserve">cannot attribute the behavior to instruction tuning, preference optimization or any other</w:t>
      </w:r>
      <w:r>
        <w:t xml:space="preserve"> </w:t>
      </w:r>
      <w:r>
        <w:t xml:space="preserve">stage of the pipeline. The alignment with the format-bias literature is offered as the most</w:t>
      </w:r>
      <w:r>
        <w:t xml:space="preserve"> </w:t>
      </w:r>
      <w:r>
        <w:t xml:space="preserve">parsimonious reading of a behavioral regularity, not as a demonstrated mechanism, and the</w:t>
      </w:r>
      <w:r>
        <w:t xml:space="preserve"> </w:t>
      </w:r>
      <w:r>
        <w:t xml:space="preserve">text says what would be needed to establish one (access to the training pipeline or</w:t>
      </w:r>
      <w:r>
        <w:t xml:space="preserve"> </w:t>
      </w:r>
      <w:r>
        <w:t xml:space="preserve">controlled ablations over checkpoints).</w:t>
      </w:r>
    </w:p>
    <w:bookmarkEnd w:id="13"/>
    <w:bookmarkStart w:id="14" w:name="X2419a9ace4beded550aaa8b2ce37935cac62c51"/>
    <w:p>
      <w:pPr>
        <w:pStyle w:val="Heading3"/>
      </w:pPr>
      <w:r>
        <w:t xml:space="preserve">A6. Restriction of the insufficiency conclusion to the evaluated setting</w:t>
      </w:r>
    </w:p>
    <w:p>
      <w:pPr>
        <w:pStyle w:val="BlockText"/>
      </w:pPr>
      <w:r>
        <w:t xml:space="preserve">Similarly, the conclusions about the insufficiency of off-the-shelf SLMs should be</w:t>
      </w:r>
      <w:r>
        <w:t xml:space="preserve"> </w:t>
      </w:r>
      <w:r>
        <w:t xml:space="preserve">explicitly restricted to the evaluated zero-shot, local inference setting.</w:t>
      </w:r>
    </w:p>
    <w:p>
      <w:pPr>
        <w:pStyle w:val="FirstParagraph"/>
      </w:pPr>
      <w:r>
        <w:t xml:space="preserve">The restriction is now explicit at every point where the conclusion is stated. The Abstract</w:t>
      </w:r>
      <w:r>
        <w:t xml:space="preserve"> </w:t>
      </w:r>
      <w:r>
        <w:t xml:space="preserve">reads:</w:t>
      </w:r>
      <w:r>
        <w:t xml:space="preserve"> </w:t>
      </w:r>
      <w:r>
        <w:t xml:space="preserve">“in the regime evaluated here (zero-shot prompting, local CPU-only inference, Q4</w:t>
      </w:r>
      <w:r>
        <w:t xml:space="preserve"> </w:t>
      </w:r>
      <w:r>
        <w:t xml:space="preserve">quantization, no grammatical coercion), off-the-shelf generalist models are insufficient”</w:t>
      </w:r>
      <w:r>
        <w:t xml:space="preserve">,</w:t>
      </w:r>
      <w:r>
        <w:t xml:space="preserve"> </w:t>
      </w:r>
      <w:r>
        <w:t xml:space="preserve">and closes with</w:t>
      </w:r>
      <w:r>
        <w:t xml:space="preserve"> </w:t>
      </w:r>
      <w:r>
        <w:t xml:space="preserve">“the finding characterizes an operating regime rather than a fixed limit”</w:t>
      </w:r>
      <w:r>
        <w:t xml:space="preserve">,</w:t>
      </w:r>
      <w:r>
        <w:t xml:space="preserve"> </w:t>
      </w:r>
      <w:r>
        <w:t xml:space="preserve">since a single in-context demonstration reverses the structural failure. Subsection 5.3</w:t>
      </w:r>
      <w:r>
        <w:t xml:space="preserve"> </w:t>
      </w:r>
      <w:r>
        <w:t xml:space="preserve">states that the structural finding is a property of the zero-shot, no-coercion deployment</w:t>
      </w:r>
      <w:r>
        <w:t xml:space="preserve"> </w:t>
      </w:r>
      <w:r>
        <w:t xml:space="preserve">regime, and Section 8 carries a</w:t>
      </w:r>
      <w:r>
        <w:t xml:space="preserve"> </w:t>
      </w:r>
      <w:r>
        <w:t xml:space="preserve">“Generalization boundary”</w:t>
      </w:r>
      <w:r>
        <w:t xml:space="preserve"> </w:t>
      </w:r>
      <w:r>
        <w:t xml:space="preserve">limitation binding all results to</w:t>
      </w:r>
      <w:r>
        <w:t xml:space="preserve"> </w:t>
      </w:r>
      <w:r>
        <w:t xml:space="preserve">the evaluated families, their Q4 quantization, the Ollama runtime and the zero-shot regime.</w:t>
      </w:r>
      <w:r>
        <w:t xml:space="preserve"> </w:t>
      </w:r>
      <w:r>
        <w:t xml:space="preserve">The Conclusion restates the boundary when returning to each research question.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6" w:name="reviewer-c"/>
    <w:p>
      <w:pPr>
        <w:pStyle w:val="Heading2"/>
      </w:pPr>
      <w:r>
        <w:t xml:space="preserve">Reviewer C</w:t>
      </w:r>
    </w:p>
    <w:bookmarkStart w:id="16" w:name="X62ebbac23f12f923338d7c575641942d907b365"/>
    <w:p>
      <w:pPr>
        <w:pStyle w:val="Heading3"/>
      </w:pPr>
      <w:r>
        <w:t xml:space="preserve">C1. Organization paragraph of the Introduction</w:t>
      </w:r>
    </w:p>
    <w:p>
      <w:pPr>
        <w:pStyle w:val="BlockText"/>
      </w:pPr>
      <w:r>
        <w:t xml:space="preserve">Inconsistency in the text’s organization in the Introduction: the final paragraph of</w:t>
      </w:r>
      <w:r>
        <w:t xml:space="preserve"> </w:t>
      </w:r>
      <w:r>
        <w:t xml:space="preserve">Section 1 describes the article’s organization and jumps from Section 7 directly to</w:t>
      </w:r>
      <w:r>
        <w:t xml:space="preserve"> </w:t>
      </w:r>
      <w:r>
        <w:t xml:space="preserve">Section 9 (</w:t>
      </w:r>
      <w:r>
        <w:t xml:space="preserve">“Section 7 introduces a specialist human reference (…) and Section 9</w:t>
      </w:r>
      <w:r>
        <w:t xml:space="preserve"> </w:t>
      </w:r>
      <w:r>
        <w:t xml:space="preserve">synthesizes conclusions”</w:t>
      </w:r>
      <w:r>
        <w:t xml:space="preserve">), omitting any explicit mention of Section 8 (</w:t>
      </w:r>
      <w:r>
        <w:t xml:space="preserve">“Threats to</w:t>
      </w:r>
      <w:r>
        <w:t xml:space="preserve"> </w:t>
      </w:r>
      <w:r>
        <w:t xml:space="preserve">Validity”</w:t>
      </w:r>
      <w:r>
        <w:t xml:space="preserve">), which does exist and is substantial.</w:t>
      </w:r>
    </w:p>
    <w:p>
      <w:pPr>
        <w:pStyle w:val="FirstParagraph"/>
      </w:pPr>
      <w:r>
        <w:t xml:space="preserve">Corrected. The paragraph now reads</w:t>
      </w:r>
      <w:r>
        <w:t xml:space="preserve"> </w:t>
      </w:r>
      <w:r>
        <w:t xml:space="preserve">“…Section 7 introduces a specialist human reference and</w:t>
      </w:r>
      <w:r>
        <w:t xml:space="preserve"> </w:t>
      </w:r>
      <w:r>
        <w:t xml:space="preserve">describes the repertoire of mediation functions that grounds the pedagogical construct;</w:t>
      </w:r>
      <w:r>
        <w:t xml:space="preserve"> </w:t>
      </w:r>
      <w:r>
        <w:t xml:space="preserve">Section 8 states the threats to validity that bound the scope of the claims; and Section 9</w:t>
      </w:r>
      <w:r>
        <w:t xml:space="preserve"> </w:t>
      </w:r>
      <w:r>
        <w:t xml:space="preserve">synthesizes conclusions…”</w:t>
      </w:r>
      <w:r>
        <w:t xml:space="preserve">.</w:t>
      </w:r>
    </w:p>
    <w:bookmarkEnd w:id="16"/>
    <w:bookmarkStart w:id="17" w:name="X613bcfaf1d3d74327bbbec3adfdf17f5c8fae4b"/>
    <w:p>
      <w:pPr>
        <w:pStyle w:val="Heading3"/>
      </w:pPr>
      <w:r>
        <w:t xml:space="preserve">C2. Call count of the falsification protocol and the E3 isolation</w:t>
      </w:r>
    </w:p>
    <w:p>
      <w:pPr>
        <w:pStyle w:val="BlockText"/>
      </w:pPr>
      <w:r>
        <w:t xml:space="preserve">Completeness gap in Section 3.8/5.3: the reported total of 80 calls in the falsification</w:t>
      </w:r>
      <w:r>
        <w:t xml:space="preserve"> </w:t>
      </w:r>
      <w:r>
        <w:t xml:space="preserve">protocol does not reconcile with the explicit breakdown into E1 (26), E2 (24), and E2b</w:t>
      </w:r>
      <w:r>
        <w:t xml:space="preserve"> </w:t>
      </w:r>
      <w:r>
        <w:t xml:space="preserve">(24), which sum to 74; the exact number of E3 calls (the curl-based isolation) is never</w:t>
      </w:r>
      <w:r>
        <w:t xml:space="preserve"> </w:t>
      </w:r>
      <w:r>
        <w:t xml:space="preserve">stated, nor does it appear as a k/n count in Table 4 (which reports only</w:t>
      </w:r>
      <w:r>
        <w:t xml:space="preserve"> </w:t>
      </w:r>
      <w:r>
        <w:t xml:space="preserve">“failure</w:t>
      </w:r>
      <w:r>
        <w:t xml:space="preserve"> </w:t>
      </w:r>
      <w:r>
        <w:t xml:space="preserve">reproduced”</w:t>
      </w:r>
      <w:r>
        <w:t xml:space="preserve"> </w:t>
      </w:r>
      <w:r>
        <w:t xml:space="preserve">qualitatively for E3). I suggest revising this count and specifying the number</w:t>
      </w:r>
      <w:r>
        <w:t xml:space="preserve"> </w:t>
      </w:r>
      <w:r>
        <w:t xml:space="preserve">of E3 calls, should the authors choose to keep the reported totals.</w:t>
      </w:r>
    </w:p>
    <w:p>
      <w:pPr>
        <w:pStyle w:val="FirstParagraph"/>
      </w:pPr>
      <w:r>
        <w:t xml:space="preserve">The reviewer is right, and the count was wrong rather than incomplete. The E3 isolation was</w:t>
      </w:r>
      <w:r>
        <w:t xml:space="preserve"> </w:t>
      </w:r>
      <w:r>
        <w:t xml:space="preserve">re-executed in full and persisted as a released artifact: 26 calls (2 models × 13 scenarios</w:t>
      </w:r>
      <w:r>
        <w:t xml:space="preserve"> </w:t>
      </w:r>
      <w:r>
        <w:t xml:space="preserve">× 1 repetition) issued through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directly to the Ollama endpoint, with no mediation from</w:t>
      </w:r>
      <w:r>
        <w:t xml:space="preserve"> </w:t>
      </w:r>
      <w:r>
        <w:t xml:space="preserve">the Python client. The correct total is therefore</w:t>
      </w:r>
      <w:r>
        <w:t xml:space="preserve"> </w:t>
      </w:r>
      <w:r>
        <w:rPr>
          <w:b/>
          <w:bCs/>
        </w:rPr>
        <w:t xml:space="preserve">100 calls (E1 26, E2 24, E2b 24, E3</w:t>
      </w:r>
      <w:r>
        <w:rPr>
          <w:b/>
          <w:bCs/>
        </w:rPr>
        <w:t xml:space="preserve"> </w:t>
      </w:r>
      <w:r>
        <w:rPr>
          <w:b/>
          <w:bCs/>
        </w:rPr>
        <w:t xml:space="preserve">26)</w:t>
      </w:r>
      <w:r>
        <w:t xml:space="preserve">, and the breakdown is now written out in Subsection 3.8. Table 4 reports E3 as a k/n</w:t>
      </w:r>
      <w:r>
        <w:t xml:space="preserve"> </w:t>
      </w:r>
      <w:r>
        <w:t xml:space="preserve">count on the same footing as the other rows, 0/13 and 0/13, with its Wilson interval and</w:t>
      </w:r>
      <w:r>
        <w:t xml:space="preserve"> </w:t>
      </w:r>
      <w:r>
        <w:t xml:space="preserve">Fisher test, instead of the qualitative</w:t>
      </w:r>
      <w:r>
        <w:t xml:space="preserve"> </w:t>
      </w:r>
      <w:r>
        <w:t xml:space="preserve">“failure reproduced”</w:t>
      </w:r>
      <w:r>
        <w:t xml:space="preserve">. The figure of 80 also appeared</w:t>
      </w:r>
      <w:r>
        <w:t xml:space="preserve"> </w:t>
      </w:r>
      <w:r>
        <w:t xml:space="preserve">in two places the reviewer did not mention, the Abstract and the Data Availability statement;</w:t>
      </w:r>
      <w:r>
        <w:t xml:space="preserve"> </w:t>
      </w:r>
      <w:r>
        <w:t xml:space="preserve">both now read 100.</w:t>
      </w:r>
    </w:p>
    <w:bookmarkEnd w:id="17"/>
    <w:bookmarkStart w:id="18" w:name="Xe1e6e34b8a8713e33dc50967f923091813f69bf"/>
    <w:p>
      <w:pPr>
        <w:pStyle w:val="Heading3"/>
      </w:pPr>
      <w:r>
        <w:t xml:space="preserve">C3. Textual density and repetition of figures</w:t>
      </w:r>
    </w:p>
    <w:p>
      <w:pPr>
        <w:pStyle w:val="BlockText"/>
      </w:pPr>
      <w:r>
        <w:t xml:space="preserve">High textual density: some paragraphs are quite long, with multiple subordinate clauses,</w:t>
      </w:r>
      <w:r>
        <w:t xml:space="preserve"> </w:t>
      </w:r>
      <w:r>
        <w:t xml:space="preserve">and statistics are repeated almost verbatim in several places (the Abstract, Section 6,</w:t>
      </w:r>
      <w:r>
        <w:t xml:space="preserve"> </w:t>
      </w:r>
      <w:r>
        <w:t xml:space="preserve">Section 7.5, and the Conclusion all repeat the same figures of 51.3% and 3%/15%/0% vs.</w:t>
      </w:r>
      <w:r>
        <w:t xml:space="preserve"> </w:t>
      </w:r>
      <w:r>
        <w:t xml:space="preserve">80%/69%/57%). This does not create confusion, but it demands more reading effort than</w:t>
      </w:r>
      <w:r>
        <w:t xml:space="preserve"> </w:t>
      </w:r>
      <w:r>
        <w:t xml:space="preserve">desirable for an already long article.</w:t>
      </w:r>
    </w:p>
    <w:p>
      <w:pPr>
        <w:pStyle w:val="FirstParagraph"/>
      </w:pPr>
      <w:r>
        <w:t xml:space="preserve">The repeated trio was reduced. The pairing of model rates against the reference prevalences</w:t>
      </w:r>
      <w:r>
        <w:t xml:space="preserve"> </w:t>
      </w:r>
      <w:r>
        <w:t xml:space="preserve">of 80%/69%/57% now appears once in prose, in Subsection 7.5, and in Table 9; it was removed</w:t>
      </w:r>
      <w:r>
        <w:t xml:space="preserve"> </w:t>
      </w:r>
      <w:r>
        <w:t xml:space="preserve">from the Abstract and from the Conclusion. The 51.3% figure is kept only where the argument</w:t>
      </w:r>
      <w:r>
        <w:t xml:space="preserve"> </w:t>
      </w:r>
      <w:r>
        <w:t xml:space="preserve">needs it, and always beside the two human figures that now qualify it (see A1).</w:t>
      </w:r>
    </w:p>
    <w:p>
      <w:pPr>
        <w:pStyle w:val="BodyText"/>
      </w:pPr>
      <w:r>
        <w:t xml:space="preserve">We should be candid about the net effect on length. The reliability round both reviewers</w:t>
      </w:r>
      <w:r>
        <w:t xml:space="preserve"> </w:t>
      </w:r>
      <w:r>
        <w:t xml:space="preserve">asked for added a new subsection (7.6), a new table (Table 10) and a longer limitations</w:t>
      </w:r>
      <w:r>
        <w:t xml:space="preserve"> </w:t>
      </w:r>
      <w:r>
        <w:t xml:space="preserve">section, so the revised manuscript is longer than the submitted one despite the cuts. We</w:t>
      </w:r>
      <w:r>
        <w:t xml:space="preserve"> </w:t>
      </w:r>
      <w:r>
        <w:t xml:space="preserve">took the view that reporting the reliability evidence in full, including its unfavourable</w:t>
      </w:r>
      <w:r>
        <w:t xml:space="preserve"> </w:t>
      </w:r>
      <w:r>
        <w:t xml:space="preserve">parts, was the reviewers’ priority, and we would welcome editorial guidance if the journal</w:t>
      </w:r>
      <w:r>
        <w:t xml:space="preserve"> </w:t>
      </w:r>
      <w:r>
        <w:t xml:space="preserve">prefers part of Subsection 7.6 moved to an appendix.</w:t>
      </w:r>
    </w:p>
    <w:bookmarkEnd w:id="18"/>
    <w:bookmarkStart w:id="19" w:name="c4.-table-5-layout"/>
    <w:p>
      <w:pPr>
        <w:pStyle w:val="Heading3"/>
      </w:pPr>
      <w:r>
        <w:t xml:space="preserve">C4. Table 5 layout</w:t>
      </w:r>
    </w:p>
    <w:p>
      <w:pPr>
        <w:pStyle w:val="BlockText"/>
      </w:pPr>
      <w:r>
        <w:t xml:space="preserve">Table 5 appears to extend beyond the page’s right margin; please check the layout.</w:t>
      </w:r>
    </w:p>
    <w:p>
      <w:pPr>
        <w:pStyle w:val="FirstParagraph"/>
      </w:pPr>
      <w:r>
        <w:t xml:space="preserve">Fixed. Table 5 now uses two fixed-width paragraph columns sized to the column width, with a</w:t>
      </w:r>
      <w:r>
        <w:t xml:space="preserve"> </w:t>
      </w:r>
      <w:r>
        <w:t xml:space="preserve">smaller font, and no longer overflows the margin.</w:t>
      </w:r>
    </w:p>
    <w:bookmarkEnd w:id="19"/>
    <w:bookmarkStart w:id="20" w:name="X3c718f5e91e492633d22c93eae0577e1300561c"/>
    <w:p>
      <w:pPr>
        <w:pStyle w:val="Heading3"/>
      </w:pPr>
      <w:r>
        <w:t xml:space="preserve">C5. Brazilian literature on automated essay evaluation</w:t>
      </w:r>
    </w:p>
    <w:p>
      <w:pPr>
        <w:pStyle w:val="BlockText"/>
      </w:pPr>
      <w:r>
        <w:t xml:space="preserve">I suggest expanding Section 2 with at least one reference to the Brazilian literature on</w:t>
      </w:r>
      <w:r>
        <w:t xml:space="preserve"> </w:t>
      </w:r>
      <w:r>
        <w:t xml:space="preserve">automated writing evaluation/essay correction, for example, the body of research on</w:t>
      </w:r>
      <w:r>
        <w:t xml:space="preserve"> </w:t>
      </w:r>
      <w:r>
        <w:t xml:space="preserve">automated scoring of ENEM essays, a natural and expected comparison for an article defined</w:t>
      </w:r>
      <w:r>
        <w:t xml:space="preserve"> </w:t>
      </w:r>
      <w:r>
        <w:t xml:space="preserve">by its focus on</w:t>
      </w:r>
      <w:r>
        <w:t xml:space="preserve"> </w:t>
      </w:r>
      <w:r>
        <w:t xml:space="preserve">“Brazilian Portuguese writing”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“basic education”</w:t>
      </w:r>
      <w:r>
        <w:t xml:space="preserve">, or explicitly</w:t>
      </w:r>
      <w:r>
        <w:t xml:space="preserve"> </w:t>
      </w:r>
      <w:r>
        <w:t xml:space="preserve">justifying this absence.</w:t>
      </w:r>
    </w:p>
    <w:p>
      <w:pPr>
        <w:pStyle w:val="FirstParagraph"/>
      </w:pPr>
      <w:r>
        <w:t xml:space="preserve">Section 2 gained a fourth front on the Brazilian tradition of automatic essay evaluation.</w:t>
      </w:r>
      <w:r>
        <w:t xml:space="preserve"> </w:t>
      </w:r>
      <w:r>
        <w:t xml:space="preserve">It cites Essay-BR (Marinho et al., 2022), the public corpus of ENEM argumentative essays</w:t>
      </w:r>
      <w:r>
        <w:t xml:space="preserve"> </w:t>
      </w:r>
      <w:r>
        <w:t xml:space="preserve">scored on the five competencies, and Barbosa and Mauá (2026), who report cross-prompt,</w:t>
      </w:r>
      <w:r>
        <w:t xml:space="preserve"> </w:t>
      </w:r>
      <w:r>
        <w:t xml:space="preserve">trait-specific scoring over 38 prompts with QWK between 0.60 and 0.73. The contrast with</w:t>
      </w:r>
      <w:r>
        <w:t xml:space="preserve"> </w:t>
      </w:r>
      <w:r>
        <w:t xml:space="preserve">the present study is written out rather than left implicit: that tradition addresses</w:t>
      </w:r>
      <w:r>
        <w:t xml:space="preserve"> </w:t>
      </w:r>
      <w:r>
        <w:rPr>
          <w:i/>
          <w:iCs/>
        </w:rPr>
        <w:t xml:space="preserve">summative</w:t>
      </w:r>
      <w:r>
        <w:t xml:space="preserve"> </w:t>
      </w:r>
      <w:r>
        <w:t xml:space="preserve">evaluation (a grade for a finished text, over authentic corpora, typically with</w:t>
      </w:r>
      <w:r>
        <w:t xml:space="preserve"> </w:t>
      </w:r>
      <w:r>
        <w:t xml:space="preserve">server-class compute), whereas this study addresses</w:t>
      </w:r>
      <w:r>
        <w:t xml:space="preserve"> </w:t>
      </w:r>
      <w:r>
        <w:rPr>
          <w:i/>
          <w:iCs/>
        </w:rPr>
        <w:t xml:space="preserve">formative</w:t>
      </w:r>
      <w:r>
        <w:t xml:space="preserve"> </w:t>
      </w:r>
      <w:r>
        <w:t xml:space="preserve">return (no grade, a</w:t>
      </w:r>
      <w:r>
        <w:t xml:space="preserve"> </w:t>
      </w:r>
      <w:r>
        <w:t xml:space="preserve">structured intervention meant to lead the student back into the text, offline on school</w:t>
      </w:r>
      <w:r>
        <w:t xml:space="preserve"> </w:t>
      </w:r>
      <w:r>
        <w:t xml:space="preserve">hardware). The two are different tasks, and the text explains why agreement coefficients on</w:t>
      </w:r>
      <w:r>
        <w:t xml:space="preserve"> </w:t>
      </w:r>
      <w:r>
        <w:t xml:space="preserve">score prediction have no counterpart in what we measure.</w:t>
      </w:r>
    </w:p>
    <w:bookmarkEnd w:id="20"/>
    <w:bookmarkStart w:id="21" w:name="X27fbf03c31534bb0422468c15781ae47358bf4b"/>
    <w:p>
      <w:pPr>
        <w:pStyle w:val="Heading3"/>
      </w:pPr>
      <w:r>
        <w:t xml:space="preserve">C6. A writing or language-tutoring benchmark for context</w:t>
      </w:r>
    </w:p>
    <w:p>
      <w:pPr>
        <w:pStyle w:val="BlockText"/>
      </w:pPr>
      <w:r>
        <w:t xml:space="preserve">The two pedagogical benchmarks cited as theoretical support (MathTutorBench, Macina et al.,</w:t>
      </w:r>
      <w:r>
        <w:t xml:space="preserve"> </w:t>
      </w:r>
      <w:r>
        <w:t xml:space="preserve">2025; GuideEval, Liu et al., 2025) belong to adjacent domains (mathematics; general</w:t>
      </w:r>
      <w:r>
        <w:t xml:space="preserve"> </w:t>
      </w:r>
      <w:r>
        <w:t xml:space="preserve">Socratic tutoring), but no writing/language-tutoring benchmark in another language is</w:t>
      </w:r>
      <w:r>
        <w:t xml:space="preserve"> </w:t>
      </w:r>
      <w:r>
        <w:t xml:space="preserve">discussed to contextualize whether the 51.3% rate (Table 5) or the gaps in Table 9 are</w:t>
      </w:r>
      <w:r>
        <w:t xml:space="preserve"> </w:t>
      </w:r>
      <w:r>
        <w:t xml:space="preserve">high, low, or comparable to findings published in similar settings.</w:t>
      </w:r>
    </w:p>
    <w:p>
      <w:pPr>
        <w:pStyle w:val="FirstParagraph"/>
      </w:pPr>
      <w:r>
        <w:t xml:space="preserve">Section 2 now discusses TutorBench (Srinivasa et al., 2025), a rubric-graded tutoring</w:t>
      </w:r>
      <w:r>
        <w:t xml:space="preserve"> </w:t>
      </w:r>
      <w:r>
        <w:t xml:space="preserve">benchmark in which no frontier model exceeds 56% overall and the</w:t>
      </w:r>
      <w:r>
        <w:t xml:space="preserve"> </w:t>
      </w:r>
      <w:r>
        <w:t xml:space="preserve">“assessment and feedback”</w:t>
      </w:r>
      <w:r>
        <w:t xml:space="preserve"> </w:t>
      </w:r>
      <w:r>
        <w:t xml:space="preserve">use case averages roughly 51% across models. The proximity to our rate is noted and</w:t>
      </w:r>
      <w:r>
        <w:t xml:space="preserve"> </w:t>
      </w:r>
      <w:r>
        <w:t xml:space="preserve">immediately bounded: TutorBench scores tutoring quality in English with frontier-scale</w:t>
      </w:r>
      <w:r>
        <w:t xml:space="preserve"> </w:t>
      </w:r>
      <w:r>
        <w:t xml:space="preserve">models and a judge model, whereas our figure is a lexical screen over a 3-billion-parameter</w:t>
      </w:r>
      <w:r>
        <w:t xml:space="preserve"> </w:t>
      </w:r>
      <w:r>
        <w:t xml:space="preserve">model running locally in Brazilian Portuguese, so the comparison is one of order of</w:t>
      </w:r>
      <w:r>
        <w:t xml:space="preserve"> </w:t>
      </w:r>
      <w:r>
        <w:t xml:space="preserve">magnitude and direction only. Its value is to show that partial performance on the</w:t>
      </w:r>
      <w:r>
        <w:t xml:space="preserve"> </w:t>
      </w:r>
      <w:r>
        <w:t xml:space="preserve">mediational dimension is the prevailing finding in the literature rather than an artifact of</w:t>
      </w:r>
      <w:r>
        <w:t xml:space="preserve"> </w:t>
      </w:r>
      <w:r>
        <w:t xml:space="preserve">our small models or of our language.</w:t>
      </w:r>
    </w:p>
    <w:bookmarkEnd w:id="21"/>
    <w:bookmarkStart w:id="22" w:name="Xd445e26f024565d4d70e2f5428b4277a0ab4325"/>
    <w:p>
      <w:pPr>
        <w:pStyle w:val="Heading3"/>
      </w:pPr>
      <w:r>
        <w:t xml:space="preserve">C7. Prior work on local SLM execution in Brazilian or Latin American education</w:t>
      </w:r>
    </w:p>
    <w:p>
      <w:pPr>
        <w:pStyle w:val="BlockText"/>
      </w:pPr>
      <w:r>
        <w:t xml:space="preserve">There is no discussion of prior work already using Ollama/local SLM execution</w:t>
      </w:r>
      <w:r>
        <w:t xml:space="preserve"> </w:t>
      </w:r>
      <w:r>
        <w:t xml:space="preserve">specifically in a Brazilian or Latin American educational context, which would help</w:t>
      </w:r>
      <w:r>
        <w:t xml:space="preserve"> </w:t>
      </w:r>
      <w:r>
        <w:t xml:space="preserve">position the novelty of the</w:t>
      </w:r>
      <w:r>
        <w:t xml:space="preserve"> </w:t>
      </w:r>
      <w:r>
        <w:t xml:space="preserve">“public-school infrastructure”</w:t>
      </w:r>
      <w:r>
        <w:t xml:space="preserve"> </w:t>
      </w:r>
      <w:r>
        <w:t xml:space="preserve">framing relative to related</w:t>
      </w:r>
      <w:r>
        <w:t xml:space="preserve"> </w:t>
      </w:r>
      <w:r>
        <w:t xml:space="preserve">efforts, if any exist.</w:t>
      </w:r>
    </w:p>
    <w:p>
      <w:pPr>
        <w:pStyle w:val="FirstParagraph"/>
      </w:pPr>
      <w:r>
        <w:t xml:space="preserve">We searched for such work and found the closest match to be Chan et al. (2026), who</w:t>
      </w:r>
      <w:r>
        <w:t xml:space="preserve"> </w:t>
      </w:r>
      <w:r>
        <w:t xml:space="preserve">evaluate open Llama models from 1B to 70B for locally hosted school settings and report the</w:t>
      </w:r>
      <w:r>
        <w:t xml:space="preserve"> </w:t>
      </w:r>
      <w:r>
        <w:t xml:space="preserve">throughput and concurrency penalties that grow with model size, arriving from an</w:t>
      </w:r>
      <w:r>
        <w:t xml:space="preserve"> </w:t>
      </w:r>
      <w:r>
        <w:t xml:space="preserve">infrastructure angle at a conclusion convergent with ours. Section 2 now cites it and marks</w:t>
      </w:r>
      <w:r>
        <w:t xml:space="preserve"> </w:t>
      </w:r>
      <w:r>
        <w:t xml:space="preserve">the differences (multi-GPU configurations, general assistant use). For the Brazilian and</w:t>
      </w:r>
      <w:r>
        <w:t xml:space="preserve"> </w:t>
      </w:r>
      <w:r>
        <w:t xml:space="preserve">Latin American context specifically, the revised text states the gap explicitly: we are</w:t>
      </w:r>
      <w:r>
        <w:t xml:space="preserve"> </w:t>
      </w:r>
      <w:r>
        <w:t xml:space="preserve">unaware of prior work evaluating locally executed SLMs for a pedagogically specified task in</w:t>
      </w:r>
      <w:r>
        <w:t xml:space="preserve"> </w:t>
      </w:r>
      <w:r>
        <w:t xml:space="preserve">Brazilian Portuguese under CPU-only school hardware, and that is the gap this benchmark</w:t>
      </w:r>
      <w:r>
        <w:t xml:space="preserve"> </w:t>
      </w:r>
      <w:r>
        <w:t xml:space="preserve">addresses. We would be grateful for any pointer the reviewer may have.</w:t>
      </w:r>
    </w:p>
    <w:bookmarkEnd w:id="22"/>
    <w:bookmarkStart w:id="23" w:name="c8.-prominence-of-the-rq2-caveat"/>
    <w:p>
      <w:pPr>
        <w:pStyle w:val="Heading3"/>
      </w:pPr>
      <w:r>
        <w:t xml:space="preserve">C8. Prominence of the RQ2 caveat</w:t>
      </w:r>
    </w:p>
    <w:p>
      <w:pPr>
        <w:pStyle w:val="BlockText"/>
      </w:pPr>
      <w:r>
        <w:t xml:space="preserve">The Abstract and the Conclusion already qualify the RQ2 finding as a</w:t>
      </w:r>
      <w:r>
        <w:t xml:space="preserve"> </w:t>
      </w:r>
      <w:r>
        <w:t xml:space="preserve">“corroborating</w:t>
      </w:r>
      <w:r>
        <w:t xml:space="preserve"> </w:t>
      </w:r>
      <w:r>
        <w:t xml:space="preserve">qualitative probe rather than a co-equal claim”</w:t>
      </w:r>
      <w:r>
        <w:t xml:space="preserve"> </w:t>
      </w:r>
      <w:r>
        <w:t xml:space="preserve">and</w:t>
      </w:r>
      <w:r>
        <w:t xml:space="preserve"> </w:t>
      </w:r>
      <w:r>
        <w:t xml:space="preserve">“not as an independent claim of equal</w:t>
      </w:r>
      <w:r>
        <w:t xml:space="preserve"> </w:t>
      </w:r>
      <w:r>
        <w:t xml:space="preserve">evidentiary weight,”</w:t>
      </w:r>
      <w:r>
        <w:t xml:space="preserve"> </w:t>
      </w:r>
      <w:r>
        <w:t xml:space="preserve">which is a positive practice. Even so, this qualification appears</w:t>
      </w:r>
      <w:r>
        <w:t xml:space="preserve"> </w:t>
      </w:r>
      <w:r>
        <w:t xml:space="preserve">diluted within subordinate clauses, while the figures (51.3%; 3%/15%/0% vs. 80%/69%/57%)</w:t>
      </w:r>
      <w:r>
        <w:t xml:space="preserve"> </w:t>
      </w:r>
      <w:r>
        <w:t xml:space="preserve">are presented assertively elsewhere in those same passages. I suggest giving this caveat</w:t>
      </w:r>
      <w:r>
        <w:t xml:space="preserve"> </w:t>
      </w:r>
      <w:r>
        <w:t xml:space="preserve">more prominence, so that a reader who reads only the Abstract does not retain the figures</w:t>
      </w:r>
      <w:r>
        <w:t xml:space="preserve"> </w:t>
      </w:r>
      <w:r>
        <w:t xml:space="preserve">without their proper qualification.</w:t>
      </w:r>
    </w:p>
    <w:p>
      <w:pPr>
        <w:pStyle w:val="FirstParagraph"/>
      </w:pPr>
      <w:r>
        <w:t xml:space="preserve">The caveat was promoted to a sentence of its own, placed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 figures. The Abstract</w:t>
      </w:r>
      <w:r>
        <w:t xml:space="preserve"> </w:t>
      </w:r>
      <w:r>
        <w:t xml:space="preserve">now reads:</w:t>
      </w:r>
      <w:r>
        <w:t xml:space="preserve"> </w:t>
      </w:r>
      <w:r>
        <w:t xml:space="preserve">“We state its evidentiary status first: this is an exploratory single-model</w:t>
      </w:r>
      <w:r>
        <w:t xml:space="preserve"> </w:t>
      </w:r>
      <w:r>
        <w:t xml:space="preserve">analysis whose instrument is a lexical screen over Koch’s terminology, so its figures</w:t>
      </w:r>
      <w:r>
        <w:t xml:space="preserve"> </w:t>
      </w:r>
      <w:r>
        <w:t xml:space="preserve">corroborate the diagnosis rather than carry it.”</w:t>
      </w:r>
      <w:r>
        <w:t xml:space="preserve"> </w:t>
      </w:r>
      <w:r>
        <w:t xml:space="preserve">Only then does the 51.3% appear, and it is</w:t>
      </w:r>
      <w:r>
        <w:t xml:space="preserve"> </w:t>
      </w:r>
      <w:r>
        <w:t xml:space="preserve">followed in the same sentence by the two human figures and the agreement coefficients that</w:t>
      </w:r>
      <w:r>
        <w:t xml:space="preserve"> </w:t>
      </w:r>
      <w:r>
        <w:t xml:space="preserve">qualify it (A1). The mediation-function result is likewise introduced in the Abstract as</w:t>
      </w:r>
      <w:r>
        <w:t xml:space="preserve"> </w:t>
      </w:r>
      <w:r>
        <w:t xml:space="preserve">“a</w:t>
      </w:r>
      <w:r>
        <w:t xml:space="preserve"> </w:t>
      </w:r>
      <w:r>
        <w:t xml:space="preserve">pattern and not a measurement”</w:t>
      </w:r>
      <w:r>
        <w:t xml:space="preserve">, and the 3%/15%/0% trio was removed from the Abstract and</w:t>
      </w:r>
      <w:r>
        <w:t xml:space="preserve"> </w:t>
      </w:r>
      <w:r>
        <w:t xml:space="preserve">the Conclusion (C3).</w:t>
      </w:r>
    </w:p>
    <w:bookmarkEnd w:id="23"/>
    <w:bookmarkStart w:id="24" w:name="Xdb1c0079110b76e04fd2c47e2cf4cb9646ce2e5"/>
    <w:p>
      <w:pPr>
        <w:pStyle w:val="Heading3"/>
      </w:pPr>
      <w:r>
        <w:t xml:space="preserve">C9. A second blind coding pass of the model’s 39 outputs</w:t>
      </w:r>
    </w:p>
    <w:p>
      <w:pPr>
        <w:pStyle w:val="BlockText"/>
      </w:pPr>
      <w:r>
        <w:t xml:space="preserve">The authors already report, as an explicit limitation (Sections 7.5 and 8), the absence of</w:t>
      </w:r>
      <w:r>
        <w:t xml:space="preserve"> </w:t>
      </w:r>
      <w:r>
        <w:t xml:space="preserve">a second blind coding pass of the model’s 39 outputs against the eight mediation functions</w:t>
      </w:r>
      <w:r>
        <w:t xml:space="preserve"> </w:t>
      </w:r>
      <w:r>
        <w:t xml:space="preserve">(Table 9). Given that these figures are the most frequently cited in the article, I</w:t>
      </w:r>
      <w:r>
        <w:t xml:space="preserve"> </w:t>
      </w:r>
      <w:r>
        <w:t xml:space="preserve">suggest the authors consider actually carrying out this second coding pass and reporting</w:t>
      </w:r>
      <w:r>
        <w:t xml:space="preserve"> </w:t>
      </w:r>
      <w:r>
        <w:t xml:space="preserve">the corresponding κ, rather than merely flagging it as future work.</w:t>
      </w:r>
    </w:p>
    <w:p>
      <w:pPr>
        <w:pStyle w:val="FirstParagraph"/>
      </w:pPr>
      <w:r>
        <w:t xml:space="preserve">It was carried out, with two independent external coders rather than one, over the full</w:t>
      </w:r>
      <w:r>
        <w:t xml:space="preserve"> </w:t>
      </w:r>
      <w:r>
        <w:t xml:space="preserve">corpus of 39 turns, under a rebuilt instrument and a pre-registered analysis plan. The</w:t>
      </w:r>
      <w:r>
        <w:t xml:space="preserve"> </w:t>
      </w:r>
      <w:r>
        <w:t xml:space="preserve">design, the result per function, the divergence analysis and the effect on Table 9 are</w:t>
      </w:r>
      <w:r>
        <w:t xml:space="preserve"> </w:t>
      </w:r>
      <w:r>
        <w:t xml:space="preserve">described under A3 above and in Subsection 7.6 and Table 10 of the manuscript.</w:t>
      </w:r>
    </w:p>
    <w:bookmarkEnd w:id="24"/>
    <w:bookmarkStart w:id="25" w:name="c10.-dois-in-the-reference-list"/>
    <w:p>
      <w:pPr>
        <w:pStyle w:val="Heading3"/>
      </w:pPr>
      <w:r>
        <w:t xml:space="preserve">C10. DOIs in the reference list</w:t>
      </w:r>
    </w:p>
    <w:p>
      <w:pPr>
        <w:pStyle w:val="BlockText"/>
      </w:pPr>
      <w:r>
        <w:t xml:space="preserve">Please review the reference list: at least eight entries lack a DOI, although they</w:t>
      </w:r>
      <w:r>
        <w:t xml:space="preserve"> </w:t>
      </w:r>
      <w:r>
        <w:t xml:space="preserve">typically have one available via arXiv (for example, Abdin et al., 2024; Dong et al.,</w:t>
      </w:r>
      <w:r>
        <w:t xml:space="preserve"> </w:t>
      </w:r>
      <w:r>
        <w:t xml:space="preserve">2024; Gemma Team, 2024; Grattafiori et al., 2024; Liu et al., 2025; Willard and Louf,</w:t>
      </w:r>
      <w:r>
        <w:t xml:space="preserve"> </w:t>
      </w:r>
      <w:r>
        <w:t xml:space="preserve">2023; Wu and Aji, 2023; and Yang et al., 2024).</w:t>
      </w:r>
    </w:p>
    <w:p>
      <w:pPr>
        <w:pStyle w:val="FirstParagraph"/>
      </w:pPr>
      <w:r>
        <w:t xml:space="preserve">Fixed, with a note on the cause. All eight entries already carried a</w:t>
      </w:r>
      <w:r>
        <w:t xml:space="preserve"> </w:t>
      </w:r>
      <w:r>
        <w:rPr>
          <w:rStyle w:val="VerbatimChar"/>
        </w:rPr>
        <w:t xml:space="preserve">doi</w:t>
      </w:r>
      <w:r>
        <w:t xml:space="preserve"> </w:t>
      </w:r>
      <w:r>
        <w:t xml:space="preserve">field in the</w:t>
      </w:r>
      <w:r>
        <w:t xml:space="preserve"> </w:t>
      </w:r>
      <w:r>
        <w:t xml:space="preserve">bibliography source; the journal’s bibliography style prints the DOI for</w:t>
      </w:r>
      <w:r>
        <w:t xml:space="preserve"> </w:t>
      </w:r>
      <w:r>
        <w:rPr>
          <w:rStyle w:val="VerbatimChar"/>
        </w:rPr>
        <w:t xml:space="preserve">@article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@inproceedings</w:t>
      </w:r>
      <w:r>
        <w:t xml:space="preserve"> </w:t>
      </w:r>
      <w:r>
        <w:t xml:space="preserve">entries but not for the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type under which arXiv preprints are</w:t>
      </w:r>
      <w:r>
        <w:t xml:space="preserve"> </w:t>
      </w:r>
      <w:r>
        <w:t xml:space="preserve">recorded, so the field was silently dropped at typesetting. We added the DOI explicitly to</w:t>
      </w:r>
      <w:r>
        <w:t xml:space="preserve"> </w:t>
      </w:r>
      <w:r>
        <w:t xml:space="preserve">each of the eight entries so that it renders in the reference list. Of the four references</w:t>
      </w:r>
      <w:r>
        <w:t xml:space="preserve"> </w:t>
      </w:r>
      <w:r>
        <w:t xml:space="preserve">added in this revision (C5 to C7), three carry a DOI; the PROPOR 2026 paper (Barbosa and</w:t>
      </w:r>
      <w:r>
        <w:t xml:space="preserve"> </w:t>
      </w:r>
      <w:r>
        <w:t xml:space="preserve">Mauá) has no DOI assigned in the ACL Anthology, so its persistent Anthology URL is given</w:t>
      </w:r>
      <w:r>
        <w:t xml:space="preserve"> </w:t>
      </w:r>
      <w:r>
        <w:t xml:space="preserve">instead.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changes-not-requested-by-the-reviewers"/>
    <w:p>
      <w:pPr>
        <w:pStyle w:val="Heading2"/>
      </w:pPr>
      <w:r>
        <w:t xml:space="preserve">Changes not requested by the reviewers</w:t>
      </w:r>
    </w:p>
    <w:p>
      <w:pPr>
        <w:pStyle w:val="FirstParagraph"/>
      </w:pPr>
      <w:r>
        <w:t xml:space="preserve">Three further changes follow from the reliability round and are reported for completeness.</w:t>
      </w:r>
    </w:p>
    <w:p>
      <w:pPr>
        <w:pStyle w:val="BodyText"/>
      </w:pPr>
      <w:r>
        <w:rPr>
          <w:b/>
          <w:bCs/>
        </w:rPr>
        <w:t xml:space="preserve">Annotator independence.</w:t>
      </w:r>
      <w:r>
        <w:t xml:space="preserve"> </w:t>
      </w:r>
      <w:r>
        <w:t xml:space="preserve">The submitted version described the reliability pass of the</w:t>
      </w:r>
      <w:r>
        <w:t xml:space="preserve"> </w:t>
      </w:r>
      <w:r>
        <w:t xml:space="preserve">specialist corpus (Subsection 7.4, κ = 0.83 over 20 turns) as performed by</w:t>
      </w:r>
      <w:r>
        <w:t xml:space="preserve"> </w:t>
      </w:r>
      <w:r>
        <w:t xml:space="preserve">“a second, blind,</w:t>
      </w:r>
      <w:r>
        <w:t xml:space="preserve"> </w:t>
      </w:r>
      <w:r>
        <w:t xml:space="preserve">and independent annotator”</w:t>
      </w:r>
      <w:r>
        <w:t xml:space="preserve">. That was too generous: the second coder was blind to the first</w:t>
      </w:r>
      <w:r>
        <w:t xml:space="preserve"> </w:t>
      </w:r>
      <w:r>
        <w:t xml:space="preserve">coding but is one of the authors. The text now says so and the CRediT statement records it.</w:t>
      </w:r>
      <w:r>
        <w:t xml:space="preserve"> </w:t>
      </w:r>
      <w:r>
        <w:t xml:space="preserve">That figure is not comparable to the model-turn round of Subsection 7.6 (different codebook</w:t>
      </w:r>
      <w:r>
        <w:t xml:space="preserve"> </w:t>
      </w:r>
      <w:r>
        <w:t xml:space="preserve">versions, different corpora, different coders), and the text no longer invites the</w:t>
      </w:r>
      <w:r>
        <w:t xml:space="preserve"> </w:t>
      </w:r>
      <w:r>
        <w:t xml:space="preserve">comparison.</w:t>
      </w:r>
    </w:p>
    <w:p>
      <w:pPr>
        <w:pStyle w:val="BodyText"/>
      </w:pPr>
      <w:r>
        <w:rPr>
          <w:b/>
          <w:bCs/>
        </w:rPr>
        <w:t xml:space="preserve">Ethics, compensation and released material.</w:t>
      </w:r>
      <w:r>
        <w:t xml:space="preserve"> </w:t>
      </w:r>
      <w:r>
        <w:t xml:space="preserve">The Declarations now state that the two</w:t>
      </w:r>
      <w:r>
        <w:t xml:space="preserve"> </w:t>
      </w:r>
      <w:r>
        <w:t xml:space="preserve">external coders acted as paid specialist collaborators over fictional material, not as</w:t>
      </w:r>
      <w:r>
        <w:t xml:space="preserve"> </w:t>
      </w:r>
      <w:r>
        <w:t xml:space="preserve">research subjects; that no personal or sensitive data about them is published; that each</w:t>
      </w:r>
      <w:r>
        <w:t xml:space="preserve"> </w:t>
      </w:r>
      <w:r>
        <w:t xml:space="preserve">signed a service agreement covering the fee and the use of the coding in this paper, in the</w:t>
      </w:r>
      <w:r>
        <w:t xml:space="preserve"> </w:t>
      </w:r>
      <w:r>
        <w:t xml:space="preserve">doctoral thesis it belongs to, and in the open release of the instrument and coded data;</w:t>
      </w:r>
      <w:r>
        <w:t xml:space="preserve"> </w:t>
      </w:r>
      <w:r>
        <w:t xml:space="preserve">and that they are identified only as coder A and coder B. The funding statement records that</w:t>
      </w:r>
      <w:r>
        <w:t xml:space="preserve"> </w:t>
      </w:r>
      <w:r>
        <w:t xml:space="preserve">the fees were paid personally by the first author. The Data Availability statement lists the</w:t>
      </w:r>
      <w:r>
        <w:t xml:space="preserve"> </w:t>
      </w:r>
      <w:r>
        <w:t xml:space="preserve">released material: the version 0.5 protocol and coder’s guide, the annotation package</w:t>
      </w:r>
      <w:r>
        <w:t xml:space="preserve"> </w:t>
      </w:r>
      <w:r>
        <w:t xml:space="preserve">delivered to each coder, both completed codings with quoted evidence and written</w:t>
      </w:r>
      <w:r>
        <w:t xml:space="preserve"> </w:t>
      </w:r>
      <w:r>
        <w:t xml:space="preserve">justifications, the provenance record of the captured spreadsheets, the completeness audit,</w:t>
      </w:r>
      <w:r>
        <w:t xml:space="preserve"> </w:t>
      </w:r>
      <w:r>
        <w:t xml:space="preserve">the analysis scripts, the item-by-item divergence listing, and the dated analysis plan.</w:t>
      </w:r>
    </w:p>
    <w:p>
      <w:pPr>
        <w:pStyle w:val="BodyText"/>
      </w:pPr>
      <w:r>
        <w:rPr>
          <w:b/>
          <w:bCs/>
        </w:rPr>
        <w:t xml:space="preserve">Figure 2</w:t>
      </w:r>
      <w:r>
        <w:t xml:space="preserve"> </w:t>
      </w:r>
      <w:r>
        <w:t xml:space="preserve">was redrawn to show, for each mediation function, the interval spanned by the</w:t>
      </w:r>
      <w:r>
        <w:t xml:space="preserve"> </w:t>
      </w:r>
      <w:r>
        <w:t xml:space="preserve">two coders rather than a single bar, with the specialist reference as a separate marker.</w:t>
      </w:r>
    </w:p>
    <w:p>
      <w:r>
        <w:pict>
          <v:rect style="width:0;height:1.5pt" o:hralign="center" o:hrstd="t" o:hr="t"/>
        </w:pict>
      </w:r>
    </w:p>
    <w:bookmarkEnd w:id="27"/>
    <w:bookmarkStart w:id="28" w:name="summary-of-changes"/>
    <w:p>
      <w:pPr>
        <w:pStyle w:val="Heading2"/>
      </w:pPr>
      <w:r>
        <w:t xml:space="preserve">Summary of changes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Reviewer</w:t>
            </w:r>
          </w:p>
        </w:tc>
        <w:tc>
          <w:tcPr/>
          <w:p>
            <w:pPr>
              <w:pStyle w:val="Compact"/>
            </w:pPr>
            <w:r>
              <w:t xml:space="preserve">Where in the revised manuscript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 human evaluation of RQ2; screen reported as lower bound</w:t>
            </w:r>
          </w:p>
        </w:tc>
        <w:tc>
          <w:tcPr/>
          <w:p>
            <w:pPr>
              <w:pStyle w:val="Compact"/>
            </w:pPr>
            <w:r>
              <w:t xml:space="preserve">A1, C8</w:t>
            </w:r>
          </w:p>
        </w:tc>
        <w:tc>
          <w:tcPr/>
          <w:p>
            <w:pPr>
              <w:pStyle w:val="Compact"/>
            </w:pPr>
            <w:r>
              <w:t xml:space="preserve">Abstract; §6; §7.6; §8; §9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Corpus defined as empirical reference, not yardstick</w:t>
            </w:r>
          </w:p>
        </w:tc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t xml:space="preserve">§7 opening; Table 9 caption; Figure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Reliability of mediation-function coding; κ = 0.14 withdrawn; new external double coding</w:t>
            </w:r>
          </w:p>
        </w:tc>
        <w:tc>
          <w:tcPr/>
          <w:p>
            <w:pPr>
              <w:pStyle w:val="Compact"/>
            </w:pPr>
            <w:r>
              <w:t xml:space="preserve">A3, C9</w:t>
            </w:r>
          </w:p>
        </w:tc>
        <w:tc>
          <w:tcPr/>
          <w:p>
            <w:pPr>
              <w:pStyle w:val="Compact"/>
            </w:pPr>
            <w:r>
              <w:t xml:space="preserve">§7.5; §7.6 (new); Tables 9 and 10; §8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Scenario-level analysis (ICC, design effect, cluster bootstrap)</w:t>
            </w:r>
          </w:p>
        </w:tc>
        <w:tc>
          <w:tcPr/>
          <w:p>
            <w:pPr>
              <w:pStyle w:val="Compact"/>
            </w:pPr>
            <w:r>
              <w:t xml:space="preserve">A4</w:t>
            </w:r>
          </w:p>
        </w:tc>
        <w:tc>
          <w:tcPr/>
          <w:p>
            <w:pPr>
              <w:pStyle w:val="Compact"/>
            </w:pPr>
            <w:r>
              <w:t xml:space="preserve">§6, paragraph</w:t>
            </w:r>
            <w:r>
              <w:t xml:space="preserve"> </w:t>
            </w:r>
            <w:r>
              <w:t xml:space="preserve">“The scenario as the unit of analysis”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Causal language softened; black-box scope stated</w:t>
            </w:r>
          </w:p>
        </w:tc>
        <w:tc>
          <w:tcPr/>
          <w:p>
            <w:pPr>
              <w:pStyle w:val="Compact"/>
            </w:pPr>
            <w:r>
              <w:t xml:space="preserve">A5</w:t>
            </w:r>
          </w:p>
        </w:tc>
        <w:tc>
          <w:tcPr/>
          <w:p>
            <w:pPr>
              <w:pStyle w:val="Compact"/>
            </w:pPr>
            <w:r>
              <w:t xml:space="preserve">Abstract; §5.2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Insufficiency conclusion restricted to the evaluated regime</w:t>
            </w:r>
          </w:p>
        </w:tc>
        <w:tc>
          <w:tcPr/>
          <w:p>
            <w:pPr>
              <w:pStyle w:val="Compact"/>
            </w:pPr>
            <w:r>
              <w:t xml:space="preserve">A6</w:t>
            </w:r>
          </w:p>
        </w:tc>
        <w:tc>
          <w:tcPr/>
          <w:p>
            <w:pPr>
              <w:pStyle w:val="Compact"/>
            </w:pPr>
            <w:r>
              <w:t xml:space="preserve">Abstract; §5.3; §8; §9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Roadmap paragraph mentions Section 8</w:t>
            </w:r>
          </w:p>
        </w:tc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t xml:space="preserve">§1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Falsification count corrected to 100; E3 = 26 calls, k/n in Table 4</w:t>
            </w:r>
          </w:p>
        </w:tc>
        <w:tc>
          <w:tcPr/>
          <w:p>
            <w:pPr>
              <w:pStyle w:val="Compact"/>
            </w:pPr>
            <w:r>
              <w:t xml:space="preserve">C2</w:t>
            </w:r>
          </w:p>
        </w:tc>
        <w:tc>
          <w:tcPr/>
          <w:p>
            <w:pPr>
              <w:pStyle w:val="Compact"/>
            </w:pPr>
            <w:r>
              <w:t xml:space="preserve">Abstract; §3.8; Table 4; Data Availability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Repeated figures reduced</w:t>
            </w:r>
          </w:p>
        </w:tc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t xml:space="preserve">Abstract; §7.5; §9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 5 layout</w:t>
            </w:r>
          </w:p>
        </w:tc>
        <w:tc>
          <w:tcPr/>
          <w:p>
            <w:pPr>
              <w:pStyle w:val="Compact"/>
            </w:pPr>
            <w:r>
              <w:t xml:space="preserve">C4</w:t>
            </w:r>
          </w:p>
        </w:tc>
        <w:tc>
          <w:tcPr/>
          <w:p>
            <w:pPr>
              <w:pStyle w:val="Compact"/>
            </w:pPr>
            <w:r>
              <w:t xml:space="preserve">Table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Brazilian AES literature (Essay-BR; Barbosa and Mauá)</w:t>
            </w:r>
          </w:p>
        </w:tc>
        <w:tc>
          <w:tcPr/>
          <w:p>
            <w:pPr>
              <w:pStyle w:val="Compact"/>
            </w:pPr>
            <w:r>
              <w:t xml:space="preserve">C5</w:t>
            </w:r>
          </w:p>
        </w:tc>
        <w:tc>
          <w:tcPr/>
          <w:p>
            <w:pPr>
              <w:pStyle w:val="Compact"/>
            </w:pPr>
            <w:r>
              <w:t xml:space="preserve">§2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Writing-tutoring benchmark for context (TutorBench)</w:t>
            </w:r>
          </w:p>
        </w:tc>
        <w:tc>
          <w:tcPr/>
          <w:p>
            <w:pPr>
              <w:pStyle w:val="Compact"/>
            </w:pPr>
            <w:r>
              <w:t xml:space="preserve">C6</w:t>
            </w:r>
          </w:p>
        </w:tc>
        <w:tc>
          <w:tcPr/>
          <w:p>
            <w:pPr>
              <w:pStyle w:val="Compact"/>
            </w:pPr>
            <w:r>
              <w:t xml:space="preserve">§2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SLM execution in school settings (Chan et al.); gap stated</w:t>
            </w:r>
          </w:p>
        </w:tc>
        <w:tc>
          <w:tcPr/>
          <w:p>
            <w:pPr>
              <w:pStyle w:val="Compact"/>
            </w:pPr>
            <w:r>
              <w:t xml:space="preserve">C7</w:t>
            </w:r>
          </w:p>
        </w:tc>
        <w:tc>
          <w:tcPr/>
          <w:p>
            <w:pPr>
              <w:pStyle w:val="Compact"/>
            </w:pPr>
            <w:r>
              <w:t xml:space="preserve">§2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DOIs rendered for the eight arXiv entries</w:t>
            </w:r>
          </w:p>
        </w:tc>
        <w:tc>
          <w:tcPr/>
          <w:p>
            <w:pPr>
              <w:pStyle w:val="Compact"/>
            </w:pPr>
            <w:r>
              <w:t xml:space="preserve">C10</w:t>
            </w:r>
          </w:p>
        </w:tc>
        <w:tc>
          <w:tcPr/>
          <w:p>
            <w:pPr>
              <w:pStyle w:val="Compact"/>
            </w:pPr>
            <w:r>
              <w:t xml:space="preserve">References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Annotator independence corrected; CRediT updated</w:t>
            </w:r>
          </w:p>
        </w:tc>
        <w:tc>
          <w:tcPr/>
          <w:p>
            <w:pPr>
              <w:pStyle w:val="Compact"/>
            </w:pPr>
            <w:r>
              <w:t xml:space="preserve">(authors)</w:t>
            </w:r>
          </w:p>
        </w:tc>
        <w:tc>
          <w:tcPr/>
          <w:p>
            <w:pPr>
              <w:pStyle w:val="Compact"/>
            </w:pPr>
            <w:r>
              <w:t xml:space="preserve">§7.4; Declarations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Ethics, compensation, released material</w:t>
            </w:r>
          </w:p>
        </w:tc>
        <w:tc>
          <w:tcPr/>
          <w:p>
            <w:pPr>
              <w:pStyle w:val="Compact"/>
            </w:pPr>
            <w:r>
              <w:t xml:space="preserve">(authors)</w:t>
            </w:r>
          </w:p>
        </w:tc>
        <w:tc>
          <w:tcPr/>
          <w:p>
            <w:pPr>
              <w:pStyle w:val="Compact"/>
            </w:pPr>
            <w:r>
              <w:t xml:space="preserve">Declarations; Data Availability</w:t>
            </w:r>
          </w:p>
        </w:tc>
      </w:tr>
    </w:tbl>
    <w:p>
      <w:pPr>
        <w:pStyle w:val="BodyText"/>
      </w:pPr>
      <w:r>
        <w:t xml:space="preserve">We are grateful to the reviewers for pressing on the reliability point. The manuscript is</w:t>
      </w:r>
      <w:r>
        <w:t xml:space="preserve"> </w:t>
      </w:r>
      <w:r>
        <w:t xml:space="preserve">materially stronger for it, and more transparent about where its evidence is thin.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t xml:space="preserve">Randerson Oliveira Melville Rebouças, on behalf of the co-authors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  <w:spacing w:line="264" w:lineRule="auto"/>
    </w:pPr>
    <w:rPr>
      <w:rFonts w:ascii="Calibri" w:cs="Calibri" w:hAnsi="Calibri"/>
      <w:color w:val="1A1A19"/>
      <w:sz w:val="22"/>
      <w:szCs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jc w:val="left"/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qFormat/>
    <w:pPr>
      <w:keepNext/>
      <w:jc w:val="left"/>
      <w:spacing w:after="120" w:before="320"/>
    </w:pPr>
    <w:rPr>
      <w:rFonts w:ascii="Calibri" w:hAnsi="Calibri"/>
      <w:b/>
      <w:color w:val="1A1A19"/>
      <w:sz w:val="30"/>
    </w:rPr>
  </w:style>
  <w:style w:styleId="Heading2" w:type="paragraph">
    <w:name w:val="heading 2"/>
    <w:basedOn w:val="Normal"/>
    <w:next w:val="BodyText"/>
    <w:qFormat/>
    <w:pPr>
      <w:keepNext/>
      <w:jc w:val="left"/>
      <w:spacing w:after="120" w:before="280"/>
    </w:pPr>
    <w:rPr>
      <w:rFonts w:ascii="Calibri" w:hAnsi="Calibri"/>
      <w:b/>
      <w:color w:val="1A1A19"/>
      <w:sz w:val="24"/>
    </w:rPr>
  </w:style>
  <w:style w:styleId="Heading3" w:type="paragraph">
    <w:name w:val="heading 3"/>
    <w:basedOn w:val="Normal"/>
    <w:next w:val="BodyText"/>
    <w:qFormat/>
    <w:pPr>
      <w:keepNext/>
      <w:jc w:val="left"/>
      <w:spacing w:after="120" w:before="240"/>
    </w:pPr>
    <w:rPr>
      <w:rFonts w:ascii="Calibri" w:hAnsi="Calibri"/>
      <w:b/>
      <w:color w:val="1A1A19"/>
      <w:sz w:val="22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qFormat/>
    <w:pPr>
      <w:spacing w:after="120" w:before="120"/>
      <w:ind w:firstLine="0" w:left="480" w:right="480"/>
      <w:jc w:val="left"/>
    </w:pPr>
    <w:rPr>
      <w:i/>
      <w:color w:val="5C5C57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tblPr>
      <w:tblInd w:type="dxa" w:w="0"/>
      <w:tblBorders>
        <w:top w:color="9A9A95" w:space="0" w:sz="4" w:val="single"/>
        <w:left w:color="9A9A95" w:space="0" w:sz="4" w:val="single"/>
        <w:bottom w:color="9A9A95" w:space="0" w:sz="4" w:val="single"/>
        <w:right w:color="9A9A95" w:space="0" w:sz="4" w:val="single"/>
        <w:insideH w:color="9A9A95" w:space="0" w:sz="4" w:val="single"/>
        <w:insideV w:color="9A9A95" w:space="0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rPr>
        <w:b/>
      </w:rPr>
      <w:tcPr>
        <w:shd w:color="auto" w:fill="EFEEEA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2026-09-11T19:51:09Z</dcterms:created>
  <dcterms:modified xsi:type="dcterms:W3CDTF">2026-09-11T19:51:09Z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