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64"/>
        <w:gridCol w:w="108"/>
        <w:gridCol w:w="28"/>
        <w:gridCol w:w="44"/>
        <w:gridCol w:w="2552"/>
        <w:gridCol w:w="98"/>
        <w:tblGridChange w:id="0">
          <w:tblGrid>
            <w:gridCol w:w="8364"/>
            <w:gridCol w:w="108"/>
            <w:gridCol w:w="28"/>
            <w:gridCol w:w="44"/>
            <w:gridCol w:w="2552"/>
            <w:gridCol w:w="98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Miguel Ángel Durán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Barcelona, España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linkedin.com/in/midudev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·  +34 688 99 99 88· midudev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Más de 15 años de experiencia como Desarrollador de Software. Lideré el desarrollo FrontEnd en Adevinta, logrando un 40% de mejora en la entrega de productos, un 25% en rendimiento web y una plataforma unificada. Como Divulgador, tengo el canal de programación más visto de Twitch en español.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Adevinta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Lead FrontEnd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Barcelona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España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gosto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17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Septiembre 2022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25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Desarrollé una plataforma unificada de componentes y herramientas para los diferentes productos de la empresa para converger técnicamente y acelerar la entrega de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Implementar prácticas de CI/CD para mejorar la eficiencia en la entrega de software, reduciendo errores y tiempos de entrega bajando los tiempos de despliegue más de un 80%.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Lideré la mejora del rendimiento web de productos como Fotocasa e InfoJobs mentorizando con mejores prácticas, creando dashboards de DataDog y diseñando estrategias.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Construí la herramienta de gestión de cookies de forma transversal para todos los productos para cumplir con  las leyes de consentimiento de permisos de los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Aporté soluciones pioneras como usar Ship/Show/Ask como estrategia de trabajo en GitHub, el uso de Rust para acelerar las compilaciones, paralelizar trabajos en CI para el ahorro de tiempo y costes además de explorar soluciones en AWS para una mejorar escalabilidad.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E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Otra empresa</w:t>
            </w:r>
          </w:p>
          <w:p w:rsidR="00000000" w:rsidDel="00000000" w:rsidP="00000000" w:rsidRDefault="00000000" w:rsidRPr="00000000" w14:paraId="00000045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Desarrollador FullStack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STIX Two Text" w:cs="STIX Two Text" w:eastAsia="STIX Two Text" w:hAnsi="STIX Two Text"/>
                <w:b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Bergen, Noruega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July 201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–August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.000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Usa verbos de acción: Optimizar, Mejorar, Desarrollar, Implementar, Diseñar, Facilitar, Integrar…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Muestra números, ya que llaman mucho la atención de la persona que está leyendo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Si no tienes experiencia profesional, muestra y explica con todo lujo de detalles algún proyecto en el que hayas trabajado, usando los mismos verbos de 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4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Otra empresa</w:t>
            </w:r>
          </w:p>
          <w:p w:rsidR="00000000" w:rsidDel="00000000" w:rsidP="00000000" w:rsidRDefault="00000000" w:rsidRPr="00000000" w14:paraId="0000005B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Desarrollador FrontEnd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STIX Two Text" w:cs="STIX Two Text" w:eastAsia="STIX Two Text" w:hAnsi="STIX Two Text"/>
                <w:b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00000"/>
                <w:rtl w:val="0"/>
              </w:rPr>
              <w:t xml:space="preserve">New Orleans, LA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July 2014–August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Cuanto más lejano es el trabajo, menos importante destacar los puntos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Pueden ser frases más cortas pero úsalas sabiamente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9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UNIVERSITAT OBERTA de CATALUNYA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Ingeniería de Informática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Honores: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Matrícula de Honor en la asignatura de Programación y el PFC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Barcelona, España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4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Creador de contenido de programación en redes sociales con más de 2 millones de seguidores en 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Nativo en Español y Catalán. Fluido en Inglés.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34.0" w:type="dxa"/>
              <w:left w:w="1134.0" w:type="dxa"/>
              <w:bottom w:w="567.0" w:type="dxa"/>
              <w:right w:w="1134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idudev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RN6Kf4+pR+lmnDS6VshcuDdmgg==">CgMxLjA4AHIhMWZZMVVwcWlRcGJ6TzIxOVhWNGJvN3piWC1jZmNQN3VJ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