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DC2A8" w14:textId="77777777" w:rsidR="00F9433A" w:rsidRPr="00327740" w:rsidRDefault="00F9433A" w:rsidP="00F9433A">
      <w:pPr>
        <w:rPr>
          <w:b/>
          <w:bCs/>
        </w:rPr>
      </w:pPr>
      <w:r w:rsidRPr="00327740">
        <w:rPr>
          <w:b/>
          <w:bCs/>
        </w:rPr>
        <w:t>SEGURIDAD DE LA INFORMACIÓN</w:t>
      </w:r>
    </w:p>
    <w:p w14:paraId="780734C8" w14:textId="77777777" w:rsidR="00E80F1F" w:rsidRDefault="00F9433A" w:rsidP="00F9433A">
      <w:pPr>
        <w:jc w:val="both"/>
      </w:pPr>
      <w:r>
        <w:t>La seguridad de la información (</w:t>
      </w:r>
      <w:proofErr w:type="spellStart"/>
      <w:r>
        <w:t>infosec</w:t>
      </w:r>
      <w:proofErr w:type="spellEnd"/>
      <w:r>
        <w:t xml:space="preserve">) se refiere a la protección de los recursos de datos de accesos no autorizados, ataques, robos o daños. Los datos pueden ser vulnerables debido a la forma en que se almacenan, transfieren o procesan. Los sistemas utilizados para almacenar, transmitir y procesar datos deben demostrar las propiedades de la seguridad. </w:t>
      </w:r>
    </w:p>
    <w:p w14:paraId="1B016E4A" w14:textId="33610FCB" w:rsidR="00F9433A" w:rsidRDefault="00F9433A" w:rsidP="00F9433A">
      <w:pPr>
        <w:jc w:val="both"/>
      </w:pPr>
      <w:r>
        <w:t xml:space="preserve">La información segura tiene </w:t>
      </w:r>
      <w:r w:rsidR="00E80F1F" w:rsidRPr="00E80F1F">
        <w:rPr>
          <w:b/>
          <w:bCs/>
          <w:color w:val="FF0000"/>
        </w:rPr>
        <w:t>3</w:t>
      </w:r>
      <w:r w:rsidRPr="00E80F1F">
        <w:rPr>
          <w:b/>
          <w:bCs/>
          <w:color w:val="FF0000"/>
        </w:rPr>
        <w:t xml:space="preserve"> propiedades</w:t>
      </w:r>
      <w:r>
        <w:t xml:space="preserve">, a menudo conocidas como </w:t>
      </w:r>
      <w:r w:rsidRPr="00CB2DD7">
        <w:rPr>
          <w:b/>
          <w:bCs/>
        </w:rPr>
        <w:t>la tríada de CIA:</w:t>
      </w:r>
      <w:r>
        <w:t> </w:t>
      </w:r>
    </w:p>
    <w:p w14:paraId="20F0DCC2" w14:textId="77777777" w:rsidR="00F9433A" w:rsidRDefault="00F9433A" w:rsidP="00E116C1">
      <w:pPr>
        <w:jc w:val="both"/>
      </w:pPr>
    </w:p>
    <w:p w14:paraId="2F43F2E5" w14:textId="115208F3" w:rsidR="00896F87" w:rsidRDefault="00E80F1F" w:rsidP="00E116C1">
      <w:pPr>
        <w:spacing w:after="0"/>
        <w:jc w:val="both"/>
      </w:pPr>
      <w:r>
        <w:rPr>
          <w:b/>
          <w:bCs/>
          <w:u w:val="single"/>
        </w:rPr>
        <w:t>1.</w:t>
      </w:r>
      <w:r w:rsidR="00F9433A" w:rsidRPr="00896F87">
        <w:rPr>
          <w:b/>
          <w:bCs/>
          <w:u w:val="single"/>
        </w:rPr>
        <w:t>Confidencialidad</w:t>
      </w:r>
      <w:r w:rsidR="00F9433A">
        <w:t xml:space="preserve"> </w:t>
      </w:r>
    </w:p>
    <w:p w14:paraId="5351CA14" w14:textId="7CA0BE59" w:rsidR="00F9433A" w:rsidRDefault="00896F87" w:rsidP="00E116C1">
      <w:pPr>
        <w:spacing w:after="0"/>
        <w:jc w:val="both"/>
      </w:pPr>
      <w:r>
        <w:t>L</w:t>
      </w:r>
      <w:r w:rsidR="00F9433A">
        <w:t>a información solo puede ser leída por personas explícitamente autorizadas para acceder a ella.</w:t>
      </w:r>
    </w:p>
    <w:p w14:paraId="3B6FC144" w14:textId="66607D23" w:rsidR="00896F87" w:rsidRDefault="00E80F1F" w:rsidP="00E116C1">
      <w:pPr>
        <w:spacing w:after="0"/>
        <w:jc w:val="both"/>
      </w:pPr>
      <w:r>
        <w:rPr>
          <w:b/>
          <w:bCs/>
          <w:u w:val="single"/>
        </w:rPr>
        <w:t>2.</w:t>
      </w:r>
      <w:r w:rsidR="00F9433A" w:rsidRPr="00896F87">
        <w:rPr>
          <w:b/>
          <w:bCs/>
          <w:u w:val="single"/>
        </w:rPr>
        <w:t>Integridad</w:t>
      </w:r>
      <w:r w:rsidR="00F9433A">
        <w:t xml:space="preserve"> </w:t>
      </w:r>
    </w:p>
    <w:p w14:paraId="03C245AC" w14:textId="0358FB89" w:rsidR="00F9433A" w:rsidRDefault="00896F87" w:rsidP="00E116C1">
      <w:pPr>
        <w:spacing w:after="0"/>
        <w:jc w:val="both"/>
      </w:pPr>
      <w:r>
        <w:t>L</w:t>
      </w:r>
      <w:r w:rsidR="00F9433A">
        <w:t>os datos se almacenan y transfieren según lo previsto y que toda modificación es autorizada.</w:t>
      </w:r>
    </w:p>
    <w:p w14:paraId="3BCD107C" w14:textId="068E59DE" w:rsidR="00E116C1" w:rsidRDefault="00E80F1F" w:rsidP="00E116C1">
      <w:pPr>
        <w:spacing w:after="0"/>
        <w:jc w:val="both"/>
      </w:pPr>
      <w:r>
        <w:rPr>
          <w:b/>
          <w:bCs/>
          <w:u w:val="single"/>
        </w:rPr>
        <w:t>3.</w:t>
      </w:r>
      <w:r w:rsidR="00F9433A" w:rsidRPr="00896F87">
        <w:rPr>
          <w:b/>
          <w:bCs/>
          <w:u w:val="single"/>
        </w:rPr>
        <w:t>Disponibilidad</w:t>
      </w:r>
      <w:r w:rsidR="00F9433A">
        <w:t xml:space="preserve"> </w:t>
      </w:r>
    </w:p>
    <w:p w14:paraId="07167A7F" w14:textId="668635BE" w:rsidR="00896F87" w:rsidRDefault="00E116C1" w:rsidP="00E116C1">
      <w:pPr>
        <w:spacing w:after="0"/>
        <w:jc w:val="both"/>
      </w:pPr>
      <w:r>
        <w:t>L</w:t>
      </w:r>
      <w:r w:rsidR="00F9433A">
        <w:t>a información está accesible para que las personas autorizadas la vean o modifiquen</w:t>
      </w:r>
      <w:r>
        <w:t>.</w:t>
      </w:r>
    </w:p>
    <w:p w14:paraId="15A08CD5" w14:textId="77777777" w:rsidR="00E80F1F" w:rsidRDefault="00E80F1F" w:rsidP="00E116C1">
      <w:pPr>
        <w:spacing w:after="0"/>
        <w:jc w:val="both"/>
        <w:rPr>
          <w:b/>
          <w:bCs/>
          <w:u w:val="single"/>
        </w:rPr>
      </w:pPr>
    </w:p>
    <w:p w14:paraId="796A1C45" w14:textId="5E313AEC" w:rsidR="00896F87" w:rsidRPr="00896F87" w:rsidRDefault="00E80F1F" w:rsidP="00E116C1">
      <w:pPr>
        <w:spacing w:after="0"/>
        <w:jc w:val="both"/>
        <w:rPr>
          <w:b/>
          <w:bCs/>
          <w:u w:val="single"/>
        </w:rPr>
      </w:pPr>
      <w:r>
        <w:rPr>
          <w:b/>
          <w:bCs/>
          <w:u w:val="single"/>
        </w:rPr>
        <w:t>4.</w:t>
      </w:r>
      <w:r w:rsidR="00896F87" w:rsidRPr="00896F87">
        <w:rPr>
          <w:b/>
          <w:bCs/>
          <w:u w:val="single"/>
        </w:rPr>
        <w:t xml:space="preserve">-No Repudio o irrenunciabilidad: </w:t>
      </w:r>
    </w:p>
    <w:p w14:paraId="7154D825" w14:textId="437E7778" w:rsidR="007A425E" w:rsidRDefault="00896F87" w:rsidP="00E116C1">
      <w:pPr>
        <w:spacing w:after="0"/>
        <w:jc w:val="both"/>
      </w:pPr>
      <w:r>
        <w:t>Es la capacidad de demostrar o probar la participación de las partes (origen y destino, emisor y receptor, remitente y destinatario), mediante su identificación, en una comunicación o en la realización de una determinada acción.</w:t>
      </w:r>
    </w:p>
    <w:p w14:paraId="4E7A16A9" w14:textId="77777777" w:rsidR="007A425E" w:rsidRDefault="007A425E" w:rsidP="007A425E">
      <w:pPr>
        <w:spacing w:after="0"/>
        <w:ind w:left="708"/>
      </w:pPr>
      <w:r>
        <w:t>La criptografía de clave pública</w:t>
      </w:r>
    </w:p>
    <w:p w14:paraId="3CC42132" w14:textId="60516DED" w:rsidR="007A425E" w:rsidRDefault="007A425E" w:rsidP="007A425E">
      <w:pPr>
        <w:spacing w:after="0"/>
        <w:ind w:left="708"/>
      </w:pPr>
      <w:r>
        <w:t xml:space="preserve">Firmas digitales o </w:t>
      </w:r>
      <w:r w:rsidR="00DE572D">
        <w:t>Electrónica</w:t>
      </w:r>
    </w:p>
    <w:p w14:paraId="4B3A3FCC" w14:textId="77777777" w:rsidR="007A425E" w:rsidRDefault="007A425E" w:rsidP="007A425E">
      <w:pPr>
        <w:spacing w:after="0"/>
        <w:ind w:left="708"/>
      </w:pPr>
      <w:r>
        <w:tab/>
        <w:t>Simple</w:t>
      </w:r>
    </w:p>
    <w:p w14:paraId="14AE5DA3" w14:textId="77777777" w:rsidR="007A425E" w:rsidRDefault="007A425E" w:rsidP="007A425E">
      <w:pPr>
        <w:spacing w:after="0"/>
        <w:ind w:left="708"/>
      </w:pPr>
      <w:r>
        <w:tab/>
        <w:t>Avanzada OTP</w:t>
      </w:r>
    </w:p>
    <w:p w14:paraId="004AF89B" w14:textId="155CE8B6" w:rsidR="007A425E" w:rsidRDefault="007A425E" w:rsidP="007A425E">
      <w:pPr>
        <w:spacing w:after="0"/>
        <w:ind w:left="708"/>
      </w:pPr>
      <w:r>
        <w:tab/>
      </w:r>
      <w:r w:rsidR="00DE572D">
        <w:t>Biométrica</w:t>
      </w:r>
    </w:p>
    <w:p w14:paraId="5730033C" w14:textId="77777777" w:rsidR="007A425E" w:rsidRDefault="007A425E" w:rsidP="007A425E">
      <w:pPr>
        <w:spacing w:after="0"/>
        <w:ind w:left="708"/>
      </w:pPr>
      <w:r>
        <w:tab/>
        <w:t>Certificado Digital</w:t>
      </w:r>
    </w:p>
    <w:p w14:paraId="7D5C06B4" w14:textId="77777777" w:rsidR="007A425E" w:rsidRDefault="007A425E" w:rsidP="00E116C1">
      <w:pPr>
        <w:spacing w:after="0"/>
        <w:jc w:val="both"/>
      </w:pPr>
    </w:p>
    <w:p w14:paraId="0DAFD38D" w14:textId="77777777" w:rsidR="0093258E" w:rsidRDefault="0093258E" w:rsidP="00F9433A"/>
    <w:p w14:paraId="0BE536A9" w14:textId="186249A4" w:rsidR="00F9433A" w:rsidRDefault="00F9433A" w:rsidP="00F9433A">
      <w:r>
        <w:t xml:space="preserve">La </w:t>
      </w:r>
      <w:r w:rsidRPr="00CB2DD7">
        <w:rPr>
          <w:b/>
          <w:bCs/>
        </w:rPr>
        <w:t xml:space="preserve">tríada </w:t>
      </w:r>
      <w:r>
        <w:t xml:space="preserve">también se conoce como “AIC” para evitar confusiones con la Agencia Central de Inteligencia (CIA). </w:t>
      </w:r>
    </w:p>
    <w:p w14:paraId="736EA7B7" w14:textId="77777777" w:rsidR="00F9433A" w:rsidRDefault="00F9433A" w:rsidP="00F9433A"/>
    <w:p w14:paraId="77250BC4" w14:textId="77777777" w:rsidR="00F9433A" w:rsidRDefault="00F9433A" w:rsidP="00F9433A">
      <w:r>
        <w:t xml:space="preserve">Algunos </w:t>
      </w:r>
      <w:r w:rsidRPr="0093258E">
        <w:rPr>
          <w:b/>
          <w:bCs/>
        </w:rPr>
        <w:t>modelos de seguridad</w:t>
      </w:r>
      <w:r>
        <w:t xml:space="preserve"> e </w:t>
      </w:r>
      <w:r w:rsidRPr="0093258E">
        <w:rPr>
          <w:b/>
          <w:bCs/>
        </w:rPr>
        <w:t>investigadores</w:t>
      </w:r>
      <w:r>
        <w:t xml:space="preserve"> identifican otras propiedades de los sistemas seguros. La más importante es el </w:t>
      </w:r>
      <w:r w:rsidRPr="0093258E">
        <w:rPr>
          <w:b/>
          <w:bCs/>
        </w:rPr>
        <w:t>no repudio</w:t>
      </w:r>
      <w:r>
        <w:t>. No repudio significa que una persona no puede negarse a hacer algo, como crear, modificar o enviar un recurso. Por ejemplo, un documento legal, como un testamento, por lo general debe ser atestiguado cuando se firma. Si hay una disputa sobre si el documento se ejecutó correctamente, el testigo puede proporcionar evidencia de que lo fue. </w:t>
      </w:r>
    </w:p>
    <w:p w14:paraId="63415ACF" w14:textId="77777777" w:rsidR="00F9433A" w:rsidRDefault="00F9433A" w:rsidP="00F9433A"/>
    <w:p w14:paraId="334889C5" w14:textId="77777777" w:rsidR="00896F87" w:rsidRDefault="00896F87" w:rsidP="00896F87"/>
    <w:p w14:paraId="3E8A1239" w14:textId="77777777" w:rsidR="00DE572D" w:rsidRDefault="00DE572D" w:rsidP="00896F87"/>
    <w:p w14:paraId="00DA1C8B" w14:textId="77777777" w:rsidR="00896F87" w:rsidRPr="00862A6B" w:rsidRDefault="00896F87" w:rsidP="00862A6B">
      <w:pPr>
        <w:spacing w:after="0"/>
        <w:rPr>
          <w:b/>
          <w:bCs/>
          <w:u w:val="single"/>
        </w:rPr>
      </w:pPr>
      <w:r w:rsidRPr="00862A6B">
        <w:rPr>
          <w:b/>
          <w:bCs/>
          <w:u w:val="single"/>
        </w:rPr>
        <w:lastRenderedPageBreak/>
        <w:t xml:space="preserve">La </w:t>
      </w:r>
      <w:proofErr w:type="gramStart"/>
      <w:r w:rsidRPr="00862A6B">
        <w:rPr>
          <w:b/>
          <w:bCs/>
          <w:u w:val="single"/>
        </w:rPr>
        <w:t>tríada  “</w:t>
      </w:r>
      <w:proofErr w:type="gramEnd"/>
      <w:r w:rsidRPr="00862A6B">
        <w:rPr>
          <w:b/>
          <w:bCs/>
          <w:u w:val="single"/>
        </w:rPr>
        <w:t>AIC” O "CIA"</w:t>
      </w:r>
    </w:p>
    <w:p w14:paraId="4A85A908" w14:textId="77777777" w:rsidR="00896F87" w:rsidRPr="00862A6B" w:rsidRDefault="00896F87" w:rsidP="00862A6B">
      <w:pPr>
        <w:spacing w:after="0"/>
        <w:rPr>
          <w:b/>
          <w:bCs/>
        </w:rPr>
      </w:pPr>
      <w:r w:rsidRPr="00862A6B">
        <w:rPr>
          <w:b/>
          <w:bCs/>
        </w:rPr>
        <w:t xml:space="preserve">confidencialidad </w:t>
      </w:r>
    </w:p>
    <w:p w14:paraId="04B27C04" w14:textId="77777777" w:rsidR="00896F87" w:rsidRPr="00862A6B" w:rsidRDefault="00896F87" w:rsidP="00862A6B">
      <w:pPr>
        <w:spacing w:after="0"/>
        <w:rPr>
          <w:b/>
          <w:bCs/>
        </w:rPr>
      </w:pPr>
      <w:r w:rsidRPr="00862A6B">
        <w:rPr>
          <w:b/>
          <w:bCs/>
        </w:rPr>
        <w:t xml:space="preserve">Integridad </w:t>
      </w:r>
    </w:p>
    <w:p w14:paraId="4E4C57CE" w14:textId="436900AF" w:rsidR="00896F87" w:rsidRPr="00862A6B" w:rsidRDefault="00862A6B" w:rsidP="00862A6B">
      <w:pPr>
        <w:spacing w:after="0"/>
        <w:rPr>
          <w:b/>
          <w:bCs/>
        </w:rPr>
      </w:pPr>
      <w:r w:rsidRPr="00862A6B">
        <w:rPr>
          <w:b/>
          <w:bCs/>
        </w:rPr>
        <w:t>Disponibilidad</w:t>
      </w:r>
      <w:r w:rsidR="00896F87" w:rsidRPr="00862A6B">
        <w:rPr>
          <w:b/>
          <w:bCs/>
        </w:rPr>
        <w:t xml:space="preserve"> </w:t>
      </w:r>
    </w:p>
    <w:p w14:paraId="61D15612" w14:textId="77777777" w:rsidR="00896F87" w:rsidRDefault="00896F87" w:rsidP="00862A6B">
      <w:pPr>
        <w:spacing w:after="0"/>
      </w:pPr>
    </w:p>
    <w:p w14:paraId="36DFE162" w14:textId="77777777" w:rsidR="00896F87" w:rsidRPr="00862A6B" w:rsidRDefault="00896F87" w:rsidP="00862A6B">
      <w:pPr>
        <w:spacing w:after="0"/>
        <w:rPr>
          <w:b/>
          <w:bCs/>
        </w:rPr>
      </w:pPr>
      <w:r w:rsidRPr="00862A6B">
        <w:rPr>
          <w:b/>
          <w:bCs/>
        </w:rPr>
        <w:t xml:space="preserve">-No Repudio o irrenunciabilidad: </w:t>
      </w:r>
    </w:p>
    <w:p w14:paraId="634EC838" w14:textId="77777777" w:rsidR="00896F87" w:rsidRDefault="00896F87" w:rsidP="00896F87"/>
    <w:sectPr w:rsidR="00896F87" w:rsidSect="00E116C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38C"/>
    <w:rsid w:val="0078438C"/>
    <w:rsid w:val="007A425E"/>
    <w:rsid w:val="00802710"/>
    <w:rsid w:val="00862A6B"/>
    <w:rsid w:val="00896F87"/>
    <w:rsid w:val="0093258E"/>
    <w:rsid w:val="00CB2DD7"/>
    <w:rsid w:val="00CC136C"/>
    <w:rsid w:val="00DE572D"/>
    <w:rsid w:val="00E116C1"/>
    <w:rsid w:val="00E80F1F"/>
    <w:rsid w:val="00F9433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20C53"/>
  <w15:chartTrackingRefBased/>
  <w15:docId w15:val="{90D4C2D3-90C4-4102-85DB-D470CEDF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25E"/>
  </w:style>
  <w:style w:type="paragraph" w:styleId="Ttulo1">
    <w:name w:val="heading 1"/>
    <w:basedOn w:val="Normal"/>
    <w:next w:val="Normal"/>
    <w:link w:val="Ttulo1Car"/>
    <w:uiPriority w:val="9"/>
    <w:qFormat/>
    <w:rsid w:val="00784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4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43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43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43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43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43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43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43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43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43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43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43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43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43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43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43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438C"/>
    <w:rPr>
      <w:rFonts w:eastAsiaTheme="majorEastAsia" w:cstheme="majorBidi"/>
      <w:color w:val="272727" w:themeColor="text1" w:themeTint="D8"/>
    </w:rPr>
  </w:style>
  <w:style w:type="paragraph" w:styleId="Ttulo">
    <w:name w:val="Title"/>
    <w:basedOn w:val="Normal"/>
    <w:next w:val="Normal"/>
    <w:link w:val="TtuloCar"/>
    <w:uiPriority w:val="10"/>
    <w:qFormat/>
    <w:rsid w:val="00784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43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43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43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438C"/>
    <w:pPr>
      <w:spacing w:before="160"/>
      <w:jc w:val="center"/>
    </w:pPr>
    <w:rPr>
      <w:i/>
      <w:iCs/>
      <w:color w:val="404040" w:themeColor="text1" w:themeTint="BF"/>
    </w:rPr>
  </w:style>
  <w:style w:type="character" w:customStyle="1" w:styleId="CitaCar">
    <w:name w:val="Cita Car"/>
    <w:basedOn w:val="Fuentedeprrafopredeter"/>
    <w:link w:val="Cita"/>
    <w:uiPriority w:val="29"/>
    <w:rsid w:val="0078438C"/>
    <w:rPr>
      <w:i/>
      <w:iCs/>
      <w:color w:val="404040" w:themeColor="text1" w:themeTint="BF"/>
    </w:rPr>
  </w:style>
  <w:style w:type="paragraph" w:styleId="Prrafodelista">
    <w:name w:val="List Paragraph"/>
    <w:basedOn w:val="Normal"/>
    <w:uiPriority w:val="34"/>
    <w:qFormat/>
    <w:rsid w:val="0078438C"/>
    <w:pPr>
      <w:ind w:left="720"/>
      <w:contextualSpacing/>
    </w:pPr>
  </w:style>
  <w:style w:type="character" w:styleId="nfasisintenso">
    <w:name w:val="Intense Emphasis"/>
    <w:basedOn w:val="Fuentedeprrafopredeter"/>
    <w:uiPriority w:val="21"/>
    <w:qFormat/>
    <w:rsid w:val="0078438C"/>
    <w:rPr>
      <w:i/>
      <w:iCs/>
      <w:color w:val="0F4761" w:themeColor="accent1" w:themeShade="BF"/>
    </w:rPr>
  </w:style>
  <w:style w:type="paragraph" w:styleId="Citadestacada">
    <w:name w:val="Intense Quote"/>
    <w:basedOn w:val="Normal"/>
    <w:next w:val="Normal"/>
    <w:link w:val="CitadestacadaCar"/>
    <w:uiPriority w:val="30"/>
    <w:qFormat/>
    <w:rsid w:val="00784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438C"/>
    <w:rPr>
      <w:i/>
      <w:iCs/>
      <w:color w:val="0F4761" w:themeColor="accent1" w:themeShade="BF"/>
    </w:rPr>
  </w:style>
  <w:style w:type="character" w:styleId="Referenciaintensa">
    <w:name w:val="Intense Reference"/>
    <w:basedOn w:val="Fuentedeprrafopredeter"/>
    <w:uiPriority w:val="32"/>
    <w:qFormat/>
    <w:rsid w:val="00784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290</Words>
  <Characters>1597</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11</cp:revision>
  <dcterms:created xsi:type="dcterms:W3CDTF">2024-06-16T00:04:00Z</dcterms:created>
  <dcterms:modified xsi:type="dcterms:W3CDTF">2024-06-16T00:13:00Z</dcterms:modified>
</cp:coreProperties>
</file>