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D19C1" w14:textId="77777777" w:rsidR="00BF3695" w:rsidRPr="00BF3695" w:rsidRDefault="00BF3695" w:rsidP="00C701CC">
      <w:pPr>
        <w:jc w:val="both"/>
        <w:rPr>
          <w:b/>
          <w:bCs/>
          <w:lang w:val="es-DO"/>
        </w:rPr>
      </w:pPr>
      <w:r w:rsidRPr="00BF3695">
        <w:rPr>
          <w:b/>
          <w:bCs/>
          <w:lang w:val="es-DO"/>
        </w:rPr>
        <w:t>CRIMEN ORGANIZADO Y COMPETIDORES</w:t>
      </w:r>
    </w:p>
    <w:p w14:paraId="4FB1D2EF" w14:textId="77777777" w:rsidR="00BF3695" w:rsidRPr="00BF3695" w:rsidRDefault="00BF3695" w:rsidP="00C701CC">
      <w:pPr>
        <w:jc w:val="both"/>
        <w:rPr>
          <w:lang w:val="es-DO"/>
        </w:rPr>
      </w:pPr>
      <w:r w:rsidRPr="00BF3695">
        <w:rPr>
          <w:lang w:val="es-DO"/>
        </w:rPr>
        <w:t xml:space="preserve">En muchos países, la delincuencia cibernética superó a la física, tanto en el número de incidentes como en el de pérdidas. El </w:t>
      </w:r>
      <w:r w:rsidRPr="00C701CC">
        <w:rPr>
          <w:b/>
          <w:bCs/>
          <w:color w:val="FF0000"/>
          <w:lang w:val="es-DO"/>
        </w:rPr>
        <w:t>crimen organizado</w:t>
      </w:r>
      <w:r w:rsidRPr="00C701CC">
        <w:rPr>
          <w:color w:val="FF0000"/>
          <w:lang w:val="es-DO"/>
        </w:rPr>
        <w:t xml:space="preserve"> </w:t>
      </w:r>
      <w:r w:rsidRPr="00BF3695">
        <w:rPr>
          <w:lang w:val="es-DO"/>
        </w:rPr>
        <w:t xml:space="preserve">puede operar a través de Internet desde jurisdicciones distintas a las de sus víctimas, lo que aumenta la complejidad de la </w:t>
      </w:r>
      <w:r w:rsidRPr="00F15D51">
        <w:rPr>
          <w:color w:val="FF0000"/>
          <w:lang w:val="es-DO"/>
        </w:rPr>
        <w:t>acción judicial</w:t>
      </w:r>
      <w:r w:rsidRPr="00BF3695">
        <w:rPr>
          <w:lang w:val="es-DO"/>
        </w:rPr>
        <w:t>. Si bien los delincuentes aprovechan cualquier oportunidad para obtener beneficios, sus actividades típicas son el fraude financiero (a particulares y empresas) y el chantaje/la extorsión.</w:t>
      </w:r>
    </w:p>
    <w:p w14:paraId="73F60226" w14:textId="77777777" w:rsidR="00BF3695" w:rsidRPr="00BF3695" w:rsidRDefault="00BF3695" w:rsidP="00C701CC">
      <w:pPr>
        <w:jc w:val="both"/>
        <w:rPr>
          <w:lang w:val="es-DO"/>
        </w:rPr>
      </w:pPr>
    </w:p>
    <w:p w14:paraId="376C9526" w14:textId="3FBD5827" w:rsidR="00B1785D" w:rsidRPr="00BF3695" w:rsidRDefault="00BF3695" w:rsidP="00C701CC">
      <w:pPr>
        <w:jc w:val="both"/>
        <w:rPr>
          <w:lang w:val="es-DO"/>
        </w:rPr>
      </w:pPr>
      <w:r w:rsidRPr="00BF3695">
        <w:rPr>
          <w:lang w:val="es-DO"/>
        </w:rPr>
        <w:t xml:space="preserve">Se cree que la mayor parte del espionaje lo llevan a cabo agentes estatales, pero no es inconcebible que una empresa deshonesta utilice el </w:t>
      </w:r>
      <w:proofErr w:type="spellStart"/>
      <w:r w:rsidRPr="00BF3695">
        <w:rPr>
          <w:lang w:val="es-DO"/>
        </w:rPr>
        <w:t>ciberespionaje</w:t>
      </w:r>
      <w:proofErr w:type="spellEnd"/>
      <w:r w:rsidRPr="00BF3695">
        <w:rPr>
          <w:lang w:val="es-DO"/>
        </w:rPr>
        <w:t xml:space="preserve"> contra sus competidores. El objetivo de estos ataques podría ser el robo, la interrupción de la actividad de un competidor o el daño a su reputación. Los ataques a la competencia podrían verse facilitados por empleados que hayan cambiado recientemente de empresa y aporten información privilegiada.</w:t>
      </w:r>
    </w:p>
    <w:sectPr w:rsidR="00B1785D" w:rsidRPr="00BF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9D"/>
    <w:rsid w:val="00A10B9D"/>
    <w:rsid w:val="00A86CE8"/>
    <w:rsid w:val="00B1785D"/>
    <w:rsid w:val="00BF3695"/>
    <w:rsid w:val="00C701CC"/>
    <w:rsid w:val="00D218B3"/>
    <w:rsid w:val="00E27F5C"/>
    <w:rsid w:val="00F1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BD15"/>
  <w15:chartTrackingRefBased/>
  <w15:docId w15:val="{0D964158-895D-4CB4-9501-6F3AE3CC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B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B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B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B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B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B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B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4</cp:revision>
  <dcterms:created xsi:type="dcterms:W3CDTF">2024-06-19T19:58:00Z</dcterms:created>
  <dcterms:modified xsi:type="dcterms:W3CDTF">2024-06-19T20:00:00Z</dcterms:modified>
</cp:coreProperties>
</file>