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6AB9C3" w14:textId="77777777" w:rsidR="001F3B4B" w:rsidRPr="001F3B4B" w:rsidRDefault="001F3B4B" w:rsidP="00A87031">
      <w:pPr>
        <w:jc w:val="both"/>
        <w:rPr>
          <w:b/>
          <w:bCs/>
          <w:lang w:val="es-DO"/>
        </w:rPr>
      </w:pPr>
      <w:r w:rsidRPr="001F3B4B">
        <w:rPr>
          <w:b/>
          <w:bCs/>
          <w:lang w:val="es-DO"/>
        </w:rPr>
        <w:t>VECTORES DE SOFTWARE VULNERABLE</w:t>
      </w:r>
    </w:p>
    <w:p w14:paraId="20653759" w14:textId="319ED5A0" w:rsidR="001F3B4B" w:rsidRPr="001F3B4B" w:rsidRDefault="001F3B4B" w:rsidP="00A87031">
      <w:pPr>
        <w:jc w:val="both"/>
        <w:rPr>
          <w:lang w:val="es-DO"/>
        </w:rPr>
      </w:pPr>
      <w:r w:rsidRPr="001F3B4B">
        <w:rPr>
          <w:lang w:val="es-DO"/>
        </w:rPr>
        <w:t>El software vulnerable contiene una falla en su código o diseño que puede aprovecharse para eludir el control de acceso o para bloquear el proceso. Por lo general, las vulnerabilidades solo se pueden aprovechar en circunstancias bastante específicas y, a menudo, el proveedor las corrige rápidamente. Sin embargo, debido a la complejidad del software moderno y la velocidad con la que se lanzan nuevas versiones al mercado, casi ningún software está libre de vulnerabilidades. Además, es posible que una organización no cuente con un sistema efectivo de administración de parches. Por lo tanto, el software vulnerable es un vector de amenaza que se explota</w:t>
      </w:r>
      <w:r w:rsidR="007355D2">
        <w:rPr>
          <w:lang w:val="es-DO"/>
        </w:rPr>
        <w:t xml:space="preserve"> </w:t>
      </w:r>
      <w:r w:rsidRPr="001F3B4B">
        <w:rPr>
          <w:lang w:val="es-DO"/>
        </w:rPr>
        <w:t>habitualmente.</w:t>
      </w:r>
    </w:p>
    <w:p w14:paraId="66090C13" w14:textId="77777777" w:rsidR="001F3B4B" w:rsidRPr="001F3B4B" w:rsidRDefault="001F3B4B" w:rsidP="00A87031">
      <w:pPr>
        <w:jc w:val="both"/>
        <w:rPr>
          <w:lang w:val="es-DO"/>
        </w:rPr>
      </w:pPr>
    </w:p>
    <w:p w14:paraId="04211E55" w14:textId="77777777" w:rsidR="001F3B4B" w:rsidRPr="001F3B4B" w:rsidRDefault="001F3B4B" w:rsidP="00A87031">
      <w:pPr>
        <w:jc w:val="both"/>
        <w:rPr>
          <w:lang w:val="es-DO"/>
        </w:rPr>
      </w:pPr>
      <w:r w:rsidRPr="001F3B4B">
        <w:rPr>
          <w:lang w:val="es-DO"/>
        </w:rPr>
        <w:t xml:space="preserve">Una gran cantidad de sistemas operativos y aplicaciones que se ejecutan en los dispositivos, servidores, clientes y redes en la nube de una empresa aumentan directamente la </w:t>
      </w:r>
      <w:r w:rsidRPr="002B7FF2">
        <w:rPr>
          <w:color w:val="00B050"/>
          <w:u w:val="single"/>
          <w:lang w:val="es-DO"/>
        </w:rPr>
        <w:t>superficie de ataque</w:t>
      </w:r>
      <w:r w:rsidRPr="001F3B4B">
        <w:rPr>
          <w:lang w:val="es-DO"/>
        </w:rPr>
        <w:t xml:space="preserve"> potencial. Esta </w:t>
      </w:r>
      <w:r w:rsidRPr="002B7FF2">
        <w:rPr>
          <w:color w:val="00B050"/>
          <w:lang w:val="es-DO"/>
        </w:rPr>
        <w:t>superficie de ataque</w:t>
      </w:r>
      <w:r w:rsidRPr="001F3B4B">
        <w:rPr>
          <w:lang w:val="es-DO"/>
        </w:rPr>
        <w:t xml:space="preserve"> se puede reducir mediante la consolidación a menos productos y asegurándose de que se implemente la misma versión de un producto en toda la organización. </w:t>
      </w:r>
    </w:p>
    <w:p w14:paraId="059545CD" w14:textId="77777777" w:rsidR="001F3B4B" w:rsidRPr="001F3B4B" w:rsidRDefault="001F3B4B" w:rsidP="00A87031">
      <w:pPr>
        <w:jc w:val="both"/>
        <w:rPr>
          <w:lang w:val="es-DO"/>
        </w:rPr>
      </w:pPr>
    </w:p>
    <w:p w14:paraId="4AA36F50" w14:textId="77777777" w:rsidR="001F3B4B" w:rsidRPr="001F3B4B" w:rsidRDefault="001F3B4B" w:rsidP="00A87031">
      <w:pPr>
        <w:jc w:val="both"/>
        <w:rPr>
          <w:lang w:val="es-DO"/>
        </w:rPr>
      </w:pPr>
      <w:r w:rsidRPr="001F3B4B">
        <w:rPr>
          <w:lang w:val="es-DO"/>
        </w:rPr>
        <w:t xml:space="preserve">El impacto y las consecuencias de una vulnerabilidad de software son variados. Como dos ejemplos contrastantes, considere las vulnerabilidades que afectan al lector de documentos PDF de Adobe frente a una vulnerabilidad en el software del servidor que sustenta la seguridad del transporte. El primero podría dar a un </w:t>
      </w:r>
      <w:r w:rsidRPr="0050466A">
        <w:rPr>
          <w:color w:val="FF0000"/>
          <w:lang w:val="es-DO"/>
        </w:rPr>
        <w:t>actor de amenaza</w:t>
      </w:r>
      <w:r w:rsidRPr="001F3B4B">
        <w:rPr>
          <w:lang w:val="es-DO"/>
        </w:rPr>
        <w:t xml:space="preserve"> un punto de apoyo en una red corporativa a través de una estación de trabajo; el segundo podría comprometer las claves criptográficas utilizadas para proporcionar servicios web seguros. Ambos pueden llegar a tener un alto impacto por diferentes razones. </w:t>
      </w:r>
    </w:p>
    <w:p w14:paraId="7AF21F7C" w14:textId="77777777" w:rsidR="001F3B4B" w:rsidRPr="001F3B4B" w:rsidRDefault="001F3B4B" w:rsidP="00A87031">
      <w:pPr>
        <w:jc w:val="both"/>
        <w:rPr>
          <w:lang w:val="es-DO"/>
        </w:rPr>
      </w:pPr>
    </w:p>
    <w:p w14:paraId="35AEC691" w14:textId="77777777" w:rsidR="001F3B4B" w:rsidRPr="0050466A" w:rsidRDefault="001F3B4B" w:rsidP="00A87031">
      <w:pPr>
        <w:jc w:val="both"/>
        <w:rPr>
          <w:b/>
          <w:bCs/>
          <w:lang w:val="es-DO"/>
        </w:rPr>
      </w:pPr>
      <w:r w:rsidRPr="0050466A">
        <w:rPr>
          <w:b/>
          <w:bCs/>
          <w:lang w:val="es-DO"/>
        </w:rPr>
        <w:t>Sistemas y aplicaciones no compatibles</w:t>
      </w:r>
    </w:p>
    <w:p w14:paraId="0D047F85" w14:textId="77777777" w:rsidR="001F3B4B" w:rsidRPr="001F3B4B" w:rsidRDefault="001F3B4B" w:rsidP="00A87031">
      <w:pPr>
        <w:jc w:val="both"/>
        <w:rPr>
          <w:lang w:val="es-DO"/>
        </w:rPr>
      </w:pPr>
      <w:r w:rsidRPr="001F3B4B">
        <w:rPr>
          <w:lang w:val="es-DO"/>
        </w:rPr>
        <w:t xml:space="preserve">Las aplicaciones y los sistemas no compatibles son una razón particular por la que el software vulnerable quedará expuesto como un </w:t>
      </w:r>
      <w:r w:rsidRPr="0050466A">
        <w:rPr>
          <w:color w:val="00B050"/>
          <w:lang w:val="es-DO"/>
        </w:rPr>
        <w:t>vector de amenaza</w:t>
      </w:r>
      <w:r w:rsidRPr="001F3B4B">
        <w:rPr>
          <w:lang w:val="es-DO"/>
        </w:rPr>
        <w:t xml:space="preserve">. Un sistema </w:t>
      </w:r>
      <w:r w:rsidRPr="004F2376">
        <w:rPr>
          <w:color w:val="00B0F0"/>
          <w:u w:val="single"/>
          <w:lang w:val="es-DO"/>
        </w:rPr>
        <w:t>no compatible</w:t>
      </w:r>
      <w:r w:rsidRPr="004F2376">
        <w:rPr>
          <w:color w:val="00B0F0"/>
          <w:lang w:val="es-DO"/>
        </w:rPr>
        <w:t xml:space="preserve"> </w:t>
      </w:r>
      <w:r w:rsidRPr="001F3B4B">
        <w:rPr>
          <w:lang w:val="es-DO"/>
        </w:rPr>
        <w:t xml:space="preserve">es aquel en el que su proveedor ya no desarrolla actualizaciones ni parches. A menos que la propia organización pueda parchear el código defectuoso, estos servicios y aplicaciones serán muy vulnerables a los </w:t>
      </w:r>
      <w:proofErr w:type="spellStart"/>
      <w:r w:rsidRPr="001F3B4B">
        <w:rPr>
          <w:lang w:val="es-DO"/>
        </w:rPr>
        <w:t>exploits</w:t>
      </w:r>
      <w:proofErr w:type="spellEnd"/>
      <w:r w:rsidRPr="001F3B4B">
        <w:rPr>
          <w:lang w:val="es-DO"/>
        </w:rPr>
        <w:t>.</w:t>
      </w:r>
    </w:p>
    <w:p w14:paraId="009CD8CD" w14:textId="77777777" w:rsidR="001F3B4B" w:rsidRPr="001F3B4B" w:rsidRDefault="001F3B4B" w:rsidP="00A87031">
      <w:pPr>
        <w:jc w:val="both"/>
        <w:rPr>
          <w:lang w:val="es-DO"/>
        </w:rPr>
      </w:pPr>
    </w:p>
    <w:p w14:paraId="1C35EEE4" w14:textId="77777777" w:rsidR="001F3B4B" w:rsidRPr="001F3B4B" w:rsidRDefault="001F3B4B" w:rsidP="00A87031">
      <w:pPr>
        <w:jc w:val="both"/>
        <w:rPr>
          <w:lang w:val="es-DO"/>
        </w:rPr>
      </w:pPr>
      <w:r w:rsidRPr="001F3B4B">
        <w:rPr>
          <w:lang w:val="es-DO"/>
        </w:rPr>
        <w:t xml:space="preserve">Una estrategia para lidiar con </w:t>
      </w:r>
      <w:r w:rsidRPr="004F2376">
        <w:rPr>
          <w:b/>
          <w:bCs/>
          <w:color w:val="00B050"/>
          <w:u w:val="single"/>
          <w:lang w:val="es-DO"/>
        </w:rPr>
        <w:t xml:space="preserve">aplicaciones </w:t>
      </w:r>
      <w:r w:rsidRPr="004F2376">
        <w:rPr>
          <w:b/>
          <w:bCs/>
          <w:color w:val="00B0F0"/>
          <w:u w:val="single"/>
          <w:lang w:val="es-DO"/>
        </w:rPr>
        <w:t>no compatibles</w:t>
      </w:r>
      <w:r w:rsidRPr="001F3B4B">
        <w:rPr>
          <w:lang w:val="es-DO"/>
        </w:rPr>
        <w:t xml:space="preserve"> que no se pueden reemplazar es tratar de aislarlas de otros sistemas. La idea es reducir las oportunidades para que un actor de amenaza acceda a la aplicación vulnerable y ejecute código de </w:t>
      </w:r>
      <w:proofErr w:type="spellStart"/>
      <w:r w:rsidRPr="001F3B4B">
        <w:rPr>
          <w:lang w:val="es-DO"/>
        </w:rPr>
        <w:t>exploit</w:t>
      </w:r>
      <w:proofErr w:type="spellEnd"/>
      <w:r w:rsidRPr="001F3B4B">
        <w:rPr>
          <w:lang w:val="es-DO"/>
        </w:rPr>
        <w:t xml:space="preserve">. El uso del aislamiento como sustituto de la administración de parches es un ejemplo de </w:t>
      </w:r>
      <w:r w:rsidRPr="0074763C">
        <w:rPr>
          <w:color w:val="00B050"/>
          <w:lang w:val="es-DO"/>
        </w:rPr>
        <w:t>control compensatorio</w:t>
      </w:r>
      <w:r w:rsidRPr="001F3B4B">
        <w:rPr>
          <w:lang w:val="es-DO"/>
        </w:rPr>
        <w:t>.</w:t>
      </w:r>
    </w:p>
    <w:p w14:paraId="5C1A6011" w14:textId="77777777" w:rsidR="001F3B4B" w:rsidRPr="001F3B4B" w:rsidRDefault="001F3B4B" w:rsidP="00A87031">
      <w:pPr>
        <w:jc w:val="both"/>
        <w:rPr>
          <w:lang w:val="es-DO"/>
        </w:rPr>
      </w:pPr>
    </w:p>
    <w:p w14:paraId="7AE45D34" w14:textId="77777777" w:rsidR="001F3B4B" w:rsidRPr="0035681D" w:rsidRDefault="001F3B4B" w:rsidP="00A87031">
      <w:pPr>
        <w:jc w:val="both"/>
        <w:rPr>
          <w:b/>
          <w:bCs/>
          <w:lang w:val="es-DO"/>
        </w:rPr>
      </w:pPr>
      <w:r w:rsidRPr="0035681D">
        <w:rPr>
          <w:b/>
          <w:bCs/>
          <w:lang w:val="es-DO"/>
        </w:rPr>
        <w:t>Basado en cliente vs. sin agentes</w:t>
      </w:r>
    </w:p>
    <w:p w14:paraId="25D88123" w14:textId="77777777" w:rsidR="001F3B4B" w:rsidRPr="001F3B4B" w:rsidRDefault="001F3B4B" w:rsidP="00A87031">
      <w:pPr>
        <w:jc w:val="both"/>
        <w:rPr>
          <w:lang w:val="es-DO"/>
        </w:rPr>
      </w:pPr>
    </w:p>
    <w:p w14:paraId="473B69DE" w14:textId="7DDEEF42" w:rsidR="00B1785D" w:rsidRPr="001F3B4B" w:rsidRDefault="001F3B4B" w:rsidP="00A87031">
      <w:pPr>
        <w:jc w:val="both"/>
        <w:rPr>
          <w:lang w:val="es-DO"/>
        </w:rPr>
      </w:pPr>
      <w:r w:rsidRPr="001F3B4B">
        <w:rPr>
          <w:lang w:val="es-DO"/>
        </w:rPr>
        <w:t xml:space="preserve">El software de escaneo ayuda a las organizaciones a automatizar el descubrimiento y la clasificación de las vulnerabilidades del software. Los actores de amenazas también pueden utilizar estas herramientas como parte del reconocimiento contra un objetivo. Este software de escaneo se puede implementar como un agente basado en el cliente. El agente se ejecuta como un proceso de escaneo instalado en cada host e informa a un servidor de administración. Como alternativa, el producto de gestión de vulnerabilidades podría utilizar técnicas sin agente para escanear un host sin necesidad de ningún tipo de instalación. Es muy probable que el escaneo sin agente se utilice en el reconocimiento de </w:t>
      </w:r>
      <w:r w:rsidRPr="00561CDC">
        <w:rPr>
          <w:color w:val="FF0000"/>
          <w:lang w:val="es-DO"/>
        </w:rPr>
        <w:t>actores de amenazas</w:t>
      </w:r>
      <w:r w:rsidRPr="001F3B4B">
        <w:rPr>
          <w:lang w:val="es-DO"/>
        </w:rPr>
        <w:t>.</w:t>
      </w:r>
    </w:p>
    <w:sectPr w:rsidR="00B1785D" w:rsidRPr="001F3B4B" w:rsidSect="001F3B4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3C3"/>
    <w:rsid w:val="001F3B4B"/>
    <w:rsid w:val="002B7FF2"/>
    <w:rsid w:val="0031341B"/>
    <w:rsid w:val="0035681D"/>
    <w:rsid w:val="004F2376"/>
    <w:rsid w:val="0050466A"/>
    <w:rsid w:val="00513822"/>
    <w:rsid w:val="00561CDC"/>
    <w:rsid w:val="005873C3"/>
    <w:rsid w:val="007355D2"/>
    <w:rsid w:val="0074763C"/>
    <w:rsid w:val="00A86CE8"/>
    <w:rsid w:val="00A87031"/>
    <w:rsid w:val="00B1785D"/>
    <w:rsid w:val="00D21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503C3"/>
  <w15:chartTrackingRefBased/>
  <w15:docId w15:val="{648AC597-0E53-4B95-8930-86A8DF8E1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873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873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873C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873C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873C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873C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873C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873C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873C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73C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873C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873C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873C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873C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873C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873C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873C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873C3"/>
    <w:rPr>
      <w:rFonts w:eastAsiaTheme="majorEastAsia" w:cstheme="majorBidi"/>
      <w:color w:val="272727" w:themeColor="text1" w:themeTint="D8"/>
    </w:rPr>
  </w:style>
  <w:style w:type="paragraph" w:styleId="Ttulo">
    <w:name w:val="Title"/>
    <w:basedOn w:val="Normal"/>
    <w:next w:val="Normal"/>
    <w:link w:val="TtuloCar"/>
    <w:uiPriority w:val="10"/>
    <w:qFormat/>
    <w:rsid w:val="005873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873C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873C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873C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873C3"/>
    <w:pPr>
      <w:spacing w:before="160"/>
      <w:jc w:val="center"/>
    </w:pPr>
    <w:rPr>
      <w:i/>
      <w:iCs/>
      <w:color w:val="404040" w:themeColor="text1" w:themeTint="BF"/>
    </w:rPr>
  </w:style>
  <w:style w:type="character" w:customStyle="1" w:styleId="CitaCar">
    <w:name w:val="Cita Car"/>
    <w:basedOn w:val="Fuentedeprrafopredeter"/>
    <w:link w:val="Cita"/>
    <w:uiPriority w:val="29"/>
    <w:rsid w:val="005873C3"/>
    <w:rPr>
      <w:i/>
      <w:iCs/>
      <w:color w:val="404040" w:themeColor="text1" w:themeTint="BF"/>
    </w:rPr>
  </w:style>
  <w:style w:type="paragraph" w:styleId="Prrafodelista">
    <w:name w:val="List Paragraph"/>
    <w:basedOn w:val="Normal"/>
    <w:uiPriority w:val="34"/>
    <w:qFormat/>
    <w:rsid w:val="005873C3"/>
    <w:pPr>
      <w:ind w:left="720"/>
      <w:contextualSpacing/>
    </w:pPr>
  </w:style>
  <w:style w:type="character" w:styleId="nfasisintenso">
    <w:name w:val="Intense Emphasis"/>
    <w:basedOn w:val="Fuentedeprrafopredeter"/>
    <w:uiPriority w:val="21"/>
    <w:qFormat/>
    <w:rsid w:val="005873C3"/>
    <w:rPr>
      <w:i/>
      <w:iCs/>
      <w:color w:val="2F5496" w:themeColor="accent1" w:themeShade="BF"/>
    </w:rPr>
  </w:style>
  <w:style w:type="paragraph" w:styleId="Citadestacada">
    <w:name w:val="Intense Quote"/>
    <w:basedOn w:val="Normal"/>
    <w:next w:val="Normal"/>
    <w:link w:val="CitadestacadaCar"/>
    <w:uiPriority w:val="30"/>
    <w:qFormat/>
    <w:rsid w:val="005873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873C3"/>
    <w:rPr>
      <w:i/>
      <w:iCs/>
      <w:color w:val="2F5496" w:themeColor="accent1" w:themeShade="BF"/>
    </w:rPr>
  </w:style>
  <w:style w:type="character" w:styleId="Referenciaintensa">
    <w:name w:val="Intense Reference"/>
    <w:basedOn w:val="Fuentedeprrafopredeter"/>
    <w:uiPriority w:val="32"/>
    <w:qFormat/>
    <w:rsid w:val="005873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482</Words>
  <Characters>2752</Characters>
  <Application>Microsoft Office Word</Application>
  <DocSecurity>0</DocSecurity>
  <Lines>22</Lines>
  <Paragraphs>6</Paragraphs>
  <ScaleCrop>false</ScaleCrop>
  <Company/>
  <LinksUpToDate>false</LinksUpToDate>
  <CharactersWithSpaces>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Randel ysandro M.B</dc:creator>
  <cp:keywords/>
  <dc:description/>
  <cp:lastModifiedBy>Randel ysandro M.B</cp:lastModifiedBy>
  <cp:revision>11</cp:revision>
  <dcterms:created xsi:type="dcterms:W3CDTF">2024-06-20T16:21:00Z</dcterms:created>
  <dcterms:modified xsi:type="dcterms:W3CDTF">2024-06-20T16:40:00Z</dcterms:modified>
</cp:coreProperties>
</file>