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1"/>
      </w:pPr>
      <w:r>
        <w:t>Chapter 1</w:t>
      </w:r>
    </w:p>
    <w:p>
      <w:pPr>
        <w:pStyle w:val="2"/>
        <w:spacing w:before="82" w:line="326" w:lineRule="auto"/>
        <w:ind w:right="3959"/>
      </w:pPr>
      <w:r>
        <w:t>Comparison of different automatic identification</w:t>
      </w:r>
      <w:r>
        <w:rPr>
          <w:rFonts w:hint="eastAsia" w:eastAsia="宋体"/>
          <w:lang w:val="en-US" w:eastAsia="zh-CN"/>
        </w:rPr>
        <w:t xml:space="preserve"> </w:t>
      </w:r>
      <w:r>
        <w:t>technologies The main features of</w:t>
      </w:r>
      <w:r>
        <w:rPr>
          <w:spacing w:val="-3"/>
        </w:rPr>
        <w:t xml:space="preserve"> </w:t>
      </w:r>
      <w:r>
        <w:t>RFID</w:t>
      </w:r>
    </w:p>
    <w:p>
      <w:pPr>
        <w:pStyle w:val="2"/>
        <w:spacing w:line="326" w:lineRule="auto"/>
        <w:ind w:right="6317"/>
      </w:pPr>
      <w:r>
        <w:t>Constraints of RFID technology Core technologies of</w:t>
      </w:r>
      <w:r>
        <w:rPr>
          <w:spacing w:val="-2"/>
        </w:rPr>
        <w:t xml:space="preserve"> </w:t>
      </w:r>
      <w:r>
        <w:t>RFID</w:t>
      </w:r>
    </w:p>
    <w:p>
      <w:pPr>
        <w:pStyle w:val="2"/>
        <w:spacing w:line="228" w:lineRule="exact"/>
      </w:pPr>
      <w:r>
        <w:t>The advantage of RFID in IoT, and the development trend</w:t>
      </w:r>
    </w:p>
    <w:p>
      <w:pPr>
        <w:pStyle w:val="2"/>
        <w:ind w:left="0"/>
        <w:rPr>
          <w:sz w:val="22"/>
        </w:rPr>
      </w:pPr>
    </w:p>
    <w:p>
      <w:pPr>
        <w:pStyle w:val="2"/>
        <w:spacing w:before="139" w:line="326" w:lineRule="auto"/>
        <w:ind w:right="7462"/>
      </w:pPr>
      <w:r>
        <w:t>Chapter 2 Reader’s function</w:t>
      </w:r>
    </w:p>
    <w:p>
      <w:pPr>
        <w:pStyle w:val="2"/>
        <w:spacing w:line="326" w:lineRule="auto"/>
        <w:ind w:right="3071"/>
      </w:pPr>
      <w:r>
        <w:t>Reader’s classification: by working frequency, by appearance Influencing factors of R&amp;W range</w:t>
      </w:r>
    </w:p>
    <w:p>
      <w:pPr>
        <w:pStyle w:val="2"/>
        <w:spacing w:line="326" w:lineRule="auto"/>
        <w:ind w:right="398"/>
      </w:pPr>
      <w:r>
        <w:t>Reader’s</w:t>
      </w:r>
      <w:r>
        <w:rPr>
          <w:spacing w:val="-11"/>
        </w:rPr>
        <w:t xml:space="preserve"> </w:t>
      </w:r>
      <w:r>
        <w:t>components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functions:</w:t>
      </w:r>
      <w:r>
        <w:rPr>
          <w:spacing w:val="-10"/>
        </w:rPr>
        <w:t xml:space="preserve"> </w:t>
      </w:r>
      <w:r>
        <w:t>signal</w:t>
      </w:r>
      <w:r>
        <w:rPr>
          <w:spacing w:val="-10"/>
        </w:rPr>
        <w:t xml:space="preserve"> </w:t>
      </w:r>
      <w:r>
        <w:t>processing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control</w:t>
      </w:r>
      <w:r>
        <w:rPr>
          <w:spacing w:val="-9"/>
        </w:rPr>
        <w:t xml:space="preserve"> </w:t>
      </w:r>
      <w:r>
        <w:t>module,</w:t>
      </w:r>
      <w:r>
        <w:rPr>
          <w:spacing w:val="-7"/>
        </w:rPr>
        <w:t xml:space="preserve"> </w:t>
      </w:r>
      <w:r>
        <w:t>RF</w:t>
      </w:r>
      <w:r>
        <w:rPr>
          <w:spacing w:val="-8"/>
        </w:rPr>
        <w:t xml:space="preserve"> </w:t>
      </w:r>
      <w:r>
        <w:t>modules</w:t>
      </w:r>
      <w:r>
        <w:rPr>
          <w:spacing w:val="-4"/>
        </w:rPr>
        <w:t xml:space="preserve"> </w:t>
      </w:r>
      <w:r>
        <w:t>(two</w:t>
      </w:r>
      <w:r>
        <w:rPr>
          <w:spacing w:val="-9"/>
        </w:rPr>
        <w:t xml:space="preserve"> </w:t>
      </w:r>
      <w:r>
        <w:t xml:space="preserve">types) </w:t>
      </w:r>
      <w:r>
        <w:rPr>
          <w:spacing w:val="-6"/>
        </w:rPr>
        <w:t>Tag’s</w:t>
      </w:r>
      <w:r>
        <w:t xml:space="preserve"> functions</w:t>
      </w:r>
    </w:p>
    <w:p>
      <w:pPr>
        <w:pStyle w:val="2"/>
        <w:spacing w:line="326" w:lineRule="auto"/>
        <w:ind w:right="999"/>
      </w:pPr>
      <w:r>
        <w:t>Tag classification: by package form, by power source, by work frequency, by R&amp;W capability Two work modes of RFID middleware</w:t>
      </w:r>
    </w:p>
    <w:p>
      <w:pPr>
        <w:pStyle w:val="2"/>
        <w:spacing w:before="7"/>
        <w:ind w:left="0"/>
        <w:rPr>
          <w:sz w:val="26"/>
        </w:rPr>
      </w:pPr>
    </w:p>
    <w:p>
      <w:pPr>
        <w:pStyle w:val="2"/>
        <w:spacing w:before="1"/>
      </w:pPr>
      <w:r>
        <w:t>Chapter 3</w:t>
      </w:r>
    </w:p>
    <w:p>
      <w:pPr>
        <w:pStyle w:val="2"/>
        <w:spacing w:before="82" w:line="242" w:lineRule="auto"/>
        <w:ind w:right="4386"/>
        <w:rPr>
          <w:rFonts w:hint="eastAsia" w:ascii="Microsoft JhengHei" w:eastAsia="Microsoft JhengHei"/>
          <w:b/>
        </w:rPr>
      </w:pPr>
      <w:r>
        <w:t>Different work principles of different carrier frequency Signal voltage and energy: dB, dBm</w:t>
      </w:r>
      <w:r>
        <w:rPr>
          <w:rFonts w:hint="eastAsia" w:ascii="宋体" w:eastAsia="宋体"/>
        </w:rPr>
        <w:t>，</w:t>
      </w:r>
      <w:r>
        <w:rPr>
          <w:rFonts w:hint="eastAsia" w:ascii="Microsoft JhengHei" w:eastAsia="Microsoft JhengHei"/>
          <w:b/>
        </w:rPr>
        <w:t>重点：如何计算</w:t>
      </w:r>
    </w:p>
    <w:p>
      <w:pPr>
        <w:pStyle w:val="2"/>
        <w:spacing w:before="20" w:line="242" w:lineRule="auto"/>
        <w:ind w:right="1647"/>
        <w:rPr>
          <w:b/>
        </w:rPr>
      </w:pPr>
      <w:r>
        <w:t>Modulation of reader signal: OOK and its p</w:t>
      </w:r>
      <w:bookmarkStart w:id="0" w:name="_GoBack"/>
      <w:bookmarkEnd w:id="0"/>
      <w:r>
        <w:t xml:space="preserve">roblem, solution: PIE; Tag encoding: FM0 Link budget </w:t>
      </w:r>
      <w:r>
        <w:rPr>
          <w:b/>
        </w:rPr>
        <w:t>(</w:t>
      </w:r>
      <w:r>
        <w:rPr>
          <w:rFonts w:hint="eastAsia" w:ascii="Microsoft JhengHei" w:eastAsia="Microsoft JhengHei"/>
          <w:b/>
        </w:rPr>
        <w:t>重点</w:t>
      </w:r>
      <w:r>
        <w:rPr>
          <w:b/>
        </w:rPr>
        <w:t>)</w:t>
      </w:r>
    </w:p>
    <w:p>
      <w:pPr>
        <w:pStyle w:val="2"/>
        <w:spacing w:before="20"/>
      </w:pPr>
      <w:r>
        <w:t>Antenna gain and polarization, EIRP</w:t>
      </w:r>
    </w:p>
    <w:p>
      <w:pPr>
        <w:spacing w:before="3"/>
        <w:ind w:left="120" w:right="0" w:firstLine="0"/>
        <w:jc w:val="left"/>
        <w:rPr>
          <w:rFonts w:hint="eastAsia" w:ascii="Microsoft JhengHei" w:eastAsia="Microsoft JhengHei"/>
          <w:b/>
          <w:sz w:val="20"/>
        </w:rPr>
      </w:pPr>
      <w:r>
        <w:rPr>
          <w:sz w:val="20"/>
        </w:rPr>
        <w:t>Effects of antenna gain</w:t>
      </w:r>
      <w:r>
        <w:rPr>
          <w:rFonts w:hint="eastAsia" w:ascii="宋体" w:eastAsia="宋体"/>
          <w:sz w:val="20"/>
        </w:rPr>
        <w:t>，</w:t>
      </w:r>
      <w:r>
        <w:rPr>
          <w:rFonts w:hint="eastAsia" w:ascii="Microsoft JhengHei" w:eastAsia="Microsoft JhengHei"/>
          <w:b/>
          <w:sz w:val="20"/>
        </w:rPr>
        <w:t xml:space="preserve">重点：分析 </w:t>
      </w:r>
      <w:r>
        <w:rPr>
          <w:b/>
          <w:sz w:val="20"/>
        </w:rPr>
        <w:t>link budget</w:t>
      </w:r>
      <w:r>
        <w:rPr>
          <w:rFonts w:hint="eastAsia" w:ascii="Microsoft JhengHei" w:eastAsia="Microsoft JhengHei"/>
          <w:b/>
          <w:sz w:val="20"/>
        </w:rPr>
        <w:t>，几个计算公式</w:t>
      </w:r>
    </w:p>
    <w:p>
      <w:pPr>
        <w:pStyle w:val="2"/>
        <w:spacing w:before="5"/>
        <w:ind w:left="0"/>
        <w:rPr>
          <w:rFonts w:ascii="Microsoft JhengHei"/>
          <w:b/>
          <w:sz w:val="18"/>
        </w:rPr>
      </w:pPr>
    </w:p>
    <w:p>
      <w:pPr>
        <w:pStyle w:val="2"/>
      </w:pPr>
      <w:r>
        <w:t>Chapter 4</w:t>
      </w:r>
    </w:p>
    <w:p>
      <w:pPr>
        <w:pStyle w:val="2"/>
        <w:spacing w:before="82" w:line="326" w:lineRule="auto"/>
        <w:ind w:right="5040"/>
      </w:pPr>
      <w:r>
        <w:t>Checksum procedure: parity checks, LRC, CRC ASK, FSK, PSK</w:t>
      </w:r>
    </w:p>
    <w:p>
      <w:pPr>
        <w:pStyle w:val="2"/>
        <w:spacing w:line="326" w:lineRule="auto"/>
        <w:ind w:right="398"/>
      </w:pPr>
      <w:r>
        <w:t>Difficulty of traditional anti-collision algorithms for solving collision detection between RFID tags TDMA, FDMA, CSMA</w:t>
      </w:r>
    </w:p>
    <w:p>
      <w:pPr>
        <w:pStyle w:val="2"/>
        <w:spacing w:line="259" w:lineRule="exact"/>
        <w:rPr>
          <w:rFonts w:hint="eastAsia" w:ascii="Microsoft JhengHei" w:eastAsia="Microsoft JhengHei"/>
          <w:b/>
        </w:rPr>
      </w:pPr>
      <w:r>
        <w:t xml:space="preserve">ALOHA based protocols: pure ALOHA, S-ALOHA, FSA, DFSA, Q </w:t>
      </w:r>
      <w:r>
        <w:rPr>
          <w:rFonts w:hint="eastAsia" w:ascii="宋体" w:eastAsia="宋体"/>
        </w:rPr>
        <w:t>算法。</w:t>
      </w:r>
      <w:r>
        <w:rPr>
          <w:rFonts w:hint="eastAsia" w:ascii="Microsoft JhengHei" w:eastAsia="Microsoft JhengHei"/>
          <w:b/>
        </w:rPr>
        <w:t>重点：性能分析、执行过程</w:t>
      </w:r>
    </w:p>
    <w:p>
      <w:pPr>
        <w:pStyle w:val="2"/>
        <w:spacing w:line="312" w:lineRule="exact"/>
        <w:rPr>
          <w:rFonts w:hint="eastAsia" w:ascii="Microsoft JhengHei" w:eastAsia="Microsoft JhengHei"/>
          <w:b/>
        </w:rPr>
      </w:pPr>
      <w:r>
        <w:t xml:space="preserve">Binary tree based protocols: BT, QT, </w:t>
      </w:r>
      <w:r>
        <w:rPr>
          <w:rFonts w:hint="eastAsia" w:ascii="Microsoft JhengHei" w:eastAsia="Microsoft JhengHei"/>
          <w:b/>
        </w:rPr>
        <w:t>重点：执行过程</w:t>
      </w:r>
    </w:p>
    <w:p>
      <w:pPr>
        <w:pStyle w:val="2"/>
        <w:spacing w:line="312" w:lineRule="exact"/>
        <w:rPr>
          <w:rFonts w:hint="eastAsia" w:ascii="Microsoft JhengHei" w:eastAsia="Microsoft JhengHei"/>
          <w:b/>
        </w:rPr>
      </w:pPr>
      <w:r>
        <w:t xml:space="preserve">Binary search: Manchester code instead of NRZ code, </w:t>
      </w:r>
      <w:r>
        <w:rPr>
          <w:rFonts w:hint="eastAsia" w:ascii="Microsoft JhengHei" w:eastAsia="Microsoft JhengHei"/>
          <w:b/>
        </w:rPr>
        <w:t>重点：执行过程</w:t>
      </w:r>
    </w:p>
    <w:p>
      <w:pPr>
        <w:spacing w:before="0" w:line="340" w:lineRule="exact"/>
        <w:ind w:left="120" w:right="0" w:firstLine="0"/>
        <w:jc w:val="left"/>
        <w:rPr>
          <w:rFonts w:hint="eastAsia" w:ascii="Microsoft JhengHei" w:eastAsia="Microsoft JhengHei"/>
          <w:b/>
          <w:sz w:val="20"/>
        </w:rPr>
      </w:pPr>
      <w:r>
        <w:rPr>
          <w:sz w:val="20"/>
        </w:rPr>
        <w:t xml:space="preserve">Dynamic binary search, </w:t>
      </w:r>
      <w:r>
        <w:rPr>
          <w:rFonts w:hint="eastAsia" w:ascii="Microsoft JhengHei" w:eastAsia="Microsoft JhengHei"/>
          <w:b/>
          <w:sz w:val="20"/>
        </w:rPr>
        <w:t>重点：执行过程</w:t>
      </w:r>
    </w:p>
    <w:p>
      <w:pPr>
        <w:pStyle w:val="2"/>
        <w:spacing w:before="22" w:line="326" w:lineRule="auto"/>
        <w:ind w:right="2814"/>
      </w:pPr>
      <w:r>
        <w:t>Advantages and disadvantages of ALOHA based anti-collision algorithm Advantages and disadvantages of binary tree based anti-collision algorithm:</w:t>
      </w:r>
    </w:p>
    <w:p>
      <w:pPr>
        <w:pStyle w:val="2"/>
        <w:ind w:left="0"/>
        <w:rPr>
          <w:sz w:val="27"/>
        </w:rPr>
      </w:pPr>
    </w:p>
    <w:p>
      <w:pPr>
        <w:pStyle w:val="2"/>
      </w:pPr>
      <w:r>
        <w:t>Chapter 5</w:t>
      </w:r>
    </w:p>
    <w:p>
      <w:pPr>
        <w:pStyle w:val="2"/>
        <w:spacing w:before="82"/>
      </w:pPr>
      <w:r>
        <w:t>Concept of EPC global network</w:t>
      </w:r>
    </w:p>
    <w:p>
      <w:pPr>
        <w:pStyle w:val="2"/>
        <w:spacing w:before="82" w:line="326" w:lineRule="auto"/>
        <w:ind w:right="398"/>
      </w:pPr>
      <w:r>
        <w:t>Five basic services of EPC global network, interaction of different components of EPCglobal network EPC code: Domain Manager Number + Object Class Number + Serial Number</w:t>
      </w:r>
    </w:p>
    <w:p>
      <w:pPr>
        <w:pStyle w:val="2"/>
        <w:spacing w:line="228" w:lineRule="exact"/>
      </w:pPr>
      <w:r>
        <w:t>Basic procedures of the EPC Network</w:t>
      </w:r>
    </w:p>
    <w:p>
      <w:pPr>
        <w:pStyle w:val="2"/>
        <w:spacing w:before="82"/>
      </w:pPr>
      <w:r>
        <w:t>Binary tree based variant algorithm for EPCglobal Class 0</w:t>
      </w:r>
    </w:p>
    <w:p>
      <w:pPr>
        <w:pStyle w:val="2"/>
        <w:spacing w:before="69" w:line="304" w:lineRule="auto"/>
        <w:ind w:right="116"/>
      </w:pPr>
      <w:r>
        <w:t>EPCglobal C1 G1: PingID; C1G2: four commands (</w:t>
      </w:r>
      <w:r>
        <w:rPr>
          <w:rFonts w:hint="eastAsia" w:ascii="宋体" w:eastAsia="宋体"/>
        </w:rPr>
        <w:t>是什么，分别干什么用的</w:t>
      </w:r>
      <w:r>
        <w:t>), two types of performance trade-offs</w:t>
      </w:r>
    </w:p>
    <w:sectPr>
      <w:type w:val="continuous"/>
      <w:pgSz w:w="11910" w:h="16840"/>
      <w:pgMar w:top="1400" w:right="120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docVars>
    <w:docVar w:name="commondata" w:val="eyJoZGlkIjoiMzY3NDg3YjFhZDdiMTM1YjdmOTQ4ZjljNWQyOTNiNjkifQ=="/>
  </w:docVars>
  <w:rsids>
    <w:rsidRoot w:val="00000000"/>
    <w:rsid w:val="411E50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20"/>
    </w:pPr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327</Words>
  <Characters>1553</Characters>
  <TotalTime>3</TotalTime>
  <ScaleCrop>false</ScaleCrop>
  <LinksUpToDate>false</LinksUpToDate>
  <CharactersWithSpaces>1785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2022-06-14T09:58:00Z</dcterms:created>
  <dc:creator>zhao dong</dc:creator>
  <cp:lastModifiedBy>Lucifer</cp:lastModifiedBy>
  <dcterms:modified xsi:type="dcterms:W3CDTF">2022-06-20T02:20:46Z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2022-06-14T00:00:00Z</vt:filetime>
  </property>
  <property fmtid="{D5CDD505-2E9C-101B-9397-08002B2CF9AE}" pid="5" name="KSOProductBuildVer">
    <vt:lpwstr>2052-11.1.0.11744</vt:lpwstr>
  </property>
  <property fmtid="{D5CDD505-2E9C-101B-9397-08002B2CF9AE}" pid="6" name="ICV">
    <vt:lpwstr>859E4B6E74D148A8AAF0D3E00620227D</vt:lpwstr>
  </property>
</Properties>
</file>